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80" w:line="240" w:lineRule="auto"/>
        <w:ind w:left="0" w:right="0" w:firstLine="0"/>
        <w:jc w:val="center"/>
      </w:pPr>
      <w:bookmarkStart w:id="0" w:name="bookmark0"/>
      <w:r>
        <w:rPr>
          <w:rStyle w:val="CharStyle3"/>
          <w:b/>
          <w:bCs/>
        </w:rPr>
        <w:t>DECISION ON THE ELECTION OF MEMBERS</w:t>
        <w:br/>
        <w:t>OF THE COMMISSION</w:t>
      </w:r>
      <w:bookmarkEnd w:id="0"/>
    </w:p>
    <w:p>
      <w:pPr>
        <w:pStyle w:val="Style2"/>
        <w:keepNext/>
        <w:keepLines/>
        <w:widowControl w:val="0"/>
        <w:shd w:val="clear" w:color="auto" w:fill="auto"/>
        <w:bidi w:val="0"/>
        <w:spacing w:before="0" w:after="280" w:line="233" w:lineRule="auto"/>
        <w:ind w:left="0" w:right="0" w:firstLine="0"/>
        <w:jc w:val="both"/>
      </w:pPr>
      <w:bookmarkStart w:id="2" w:name="bookmark2"/>
      <w:r>
        <w:rPr>
          <w:rStyle w:val="CharStyle3"/>
          <w:b/>
          <w:bCs/>
        </w:rPr>
        <w:t>The Assembly,</w:t>
      </w:r>
      <w:bookmarkEnd w:id="2"/>
    </w:p>
    <w:p>
      <w:pPr>
        <w:pStyle w:val="Style4"/>
        <w:keepNext w:val="0"/>
        <w:keepLines w:val="0"/>
        <w:widowControl w:val="0"/>
        <w:shd w:val="clear" w:color="auto" w:fill="auto"/>
        <w:bidi w:val="0"/>
        <w:spacing w:before="0" w:after="280" w:line="226" w:lineRule="auto"/>
        <w:ind w:left="0" w:right="0" w:firstLine="0"/>
        <w:jc w:val="both"/>
      </w:pPr>
      <w:r>
        <w:rPr>
          <w:rStyle w:val="CharStyle5"/>
        </w:rPr>
        <w:t>After taking note that none of the candidates for the post of Chairperson of the Commission obtained the required two-thirds majority.</w:t>
      </w:r>
    </w:p>
    <w:p>
      <w:pPr>
        <w:pStyle w:val="Style2"/>
        <w:keepNext/>
        <w:keepLines/>
        <w:widowControl w:val="0"/>
        <w:numPr>
          <w:ilvl w:val="0"/>
          <w:numId w:val="1"/>
        </w:numPr>
        <w:shd w:val="clear" w:color="auto" w:fill="auto"/>
        <w:tabs>
          <w:tab w:pos="720" w:val="left"/>
        </w:tabs>
        <w:bidi w:val="0"/>
        <w:spacing w:before="0" w:after="280" w:line="233" w:lineRule="auto"/>
        <w:ind w:left="0" w:right="0" w:firstLine="0"/>
        <w:jc w:val="both"/>
      </w:pPr>
      <w:bookmarkStart w:id="4" w:name="bookmark4"/>
      <w:r>
        <w:rPr>
          <w:rStyle w:val="CharStyle3"/>
          <w:b/>
          <w:bCs/>
        </w:rPr>
        <w:t xml:space="preserve">DECIDES </w:t>
      </w:r>
      <w:r>
        <w:rPr>
          <w:rStyle w:val="CharStyle3"/>
        </w:rPr>
        <w:t>to:</w:t>
      </w:r>
      <w:bookmarkEnd w:id="4"/>
    </w:p>
    <w:p>
      <w:pPr>
        <w:pStyle w:val="Style4"/>
        <w:keepNext w:val="0"/>
        <w:keepLines w:val="0"/>
        <w:widowControl w:val="0"/>
        <w:numPr>
          <w:ilvl w:val="0"/>
          <w:numId w:val="3"/>
        </w:numPr>
        <w:shd w:val="clear" w:color="auto" w:fill="auto"/>
        <w:tabs>
          <w:tab w:pos="1411" w:val="left"/>
        </w:tabs>
        <w:bidi w:val="0"/>
        <w:spacing w:before="0" w:after="280" w:line="230" w:lineRule="auto"/>
        <w:ind w:left="1440" w:right="0" w:hanging="720"/>
        <w:jc w:val="both"/>
      </w:pPr>
      <w:r>
        <w:rPr>
          <w:rStyle w:val="CharStyle5"/>
        </w:rPr>
        <w:t>Suspend the election of the Members of the Commission, in conformity with Rule 42 (5) of the Rules of Procedure of the Assembly;</w:t>
      </w:r>
    </w:p>
    <w:p>
      <w:pPr>
        <w:pStyle w:val="Style4"/>
        <w:keepNext w:val="0"/>
        <w:keepLines w:val="0"/>
        <w:widowControl w:val="0"/>
        <w:numPr>
          <w:ilvl w:val="0"/>
          <w:numId w:val="3"/>
        </w:numPr>
        <w:shd w:val="clear" w:color="auto" w:fill="auto"/>
        <w:tabs>
          <w:tab w:pos="1411" w:val="left"/>
        </w:tabs>
        <w:bidi w:val="0"/>
        <w:spacing w:before="0" w:after="280" w:line="233" w:lineRule="auto"/>
        <w:ind w:left="1440" w:right="0" w:hanging="720"/>
        <w:jc w:val="both"/>
      </w:pPr>
      <w:r>
        <w:rPr>
          <w:rStyle w:val="CharStyle5"/>
        </w:rPr>
        <w:t>Extend the term of office of the current Members of the Commission until new elections are held thereby suspending the application of Rule 42 (7) of the Rules of Procedure of the Assembly;</w:t>
      </w:r>
    </w:p>
    <w:p>
      <w:pPr>
        <w:pStyle w:val="Style4"/>
        <w:keepNext w:val="0"/>
        <w:keepLines w:val="0"/>
        <w:widowControl w:val="0"/>
        <w:numPr>
          <w:ilvl w:val="0"/>
          <w:numId w:val="3"/>
        </w:numPr>
        <w:shd w:val="clear" w:color="auto" w:fill="auto"/>
        <w:tabs>
          <w:tab w:pos="1411" w:val="left"/>
        </w:tabs>
        <w:bidi w:val="0"/>
        <w:spacing w:before="0" w:after="280" w:line="240" w:lineRule="auto"/>
        <w:ind w:left="1440" w:right="0" w:hanging="720"/>
        <w:jc w:val="both"/>
      </w:pPr>
      <w:r>
        <w:rPr>
          <w:rStyle w:val="CharStyle5"/>
        </w:rPr>
        <w:t>Re-open the nomination process for the election of Members of the Commission which nomination process may include the former candidates;</w:t>
      </w:r>
    </w:p>
    <w:p>
      <w:pPr>
        <w:pStyle w:val="Style4"/>
        <w:keepNext w:val="0"/>
        <w:keepLines w:val="0"/>
        <w:widowControl w:val="0"/>
        <w:numPr>
          <w:ilvl w:val="0"/>
          <w:numId w:val="3"/>
        </w:numPr>
        <w:shd w:val="clear" w:color="auto" w:fill="auto"/>
        <w:tabs>
          <w:tab w:pos="1411" w:val="left"/>
        </w:tabs>
        <w:bidi w:val="0"/>
        <w:spacing w:before="0" w:after="280" w:line="230" w:lineRule="auto"/>
        <w:ind w:left="1440" w:right="0" w:hanging="720"/>
        <w:jc w:val="both"/>
      </w:pPr>
      <w:r>
        <w:rPr>
          <w:rStyle w:val="CharStyle5"/>
        </w:rPr>
        <w:t>Hold the elections for the Members of the Commission during the next ordinary Session of the Assembly in January 2017.</w:t>
      </w:r>
    </w:p>
    <w:p>
      <w:pPr>
        <w:pStyle w:val="Style4"/>
        <w:keepNext w:val="0"/>
        <w:keepLines w:val="0"/>
        <w:widowControl w:val="0"/>
        <w:numPr>
          <w:ilvl w:val="0"/>
          <w:numId w:val="1"/>
        </w:numPr>
        <w:shd w:val="clear" w:color="auto" w:fill="auto"/>
        <w:tabs>
          <w:tab w:pos="720" w:val="left"/>
        </w:tabs>
        <w:bidi w:val="0"/>
        <w:spacing w:before="0" w:after="280" w:line="233" w:lineRule="auto"/>
        <w:ind w:left="720" w:right="0" w:hanging="720"/>
        <w:jc w:val="both"/>
      </w:pPr>
      <w:r>
        <w:rPr>
          <w:rStyle w:val="CharStyle5"/>
          <w:b/>
          <w:bCs/>
        </w:rPr>
        <w:t xml:space="preserve">REQUESTS </w:t>
      </w:r>
      <w:r>
        <w:rPr>
          <w:rStyle w:val="CharStyle5"/>
        </w:rPr>
        <w:t>the Commission to take all necessary measures towards the implementation of this decision and APPROVES a supplementary budget of $120,000 (One Hundred and Twenty Thousand) for the work of the Ministerial Panel and related activities.</w:t>
      </w:r>
    </w:p>
    <w:sectPr>
      <w:footnotePr>
        <w:pos w:val="pageBottom"/>
        <w:numFmt w:val="decimal"/>
        <w:numRestart w:val="continuous"/>
      </w:footnotePr>
      <w:pgSz w:w="11900" w:h="16840"/>
      <w:pgMar w:top="1415" w:right="1067" w:bottom="1415" w:left="11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