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rStyle w:val="CharStyle3"/>
          <w:b/>
          <w:bCs/>
        </w:rPr>
        <w:t>DECISION ON THE BUDGET OF THE AFRICAN UNION</w:t>
        <w:br/>
        <w:t>FOR THE 2018 FINANCIAL YEAR</w:t>
        <w:br/>
        <w:t>Doc. PRCZRpt(XXXIV)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left"/>
      </w:pPr>
      <w:r>
        <w:rPr>
          <w:rStyle w:val="CharStyle3"/>
          <w:b/>
          <w:bCs/>
        </w:rPr>
        <w:t xml:space="preserve">ADOPTS </w:t>
      </w:r>
      <w:r>
        <w:rPr>
          <w:rStyle w:val="CharStyle3"/>
        </w:rPr>
        <w:t xml:space="preserve">a total budget of </w:t>
      </w:r>
      <w:r>
        <w:rPr>
          <w:rStyle w:val="CharStyle3"/>
          <w:b/>
          <w:bCs/>
        </w:rPr>
        <w:t xml:space="preserve">US$769, 381,894 </w:t>
      </w:r>
      <w:r>
        <w:rPr>
          <w:rStyle w:val="CharStyle3"/>
        </w:rPr>
        <w:t xml:space="preserve">for the African Union for the year 2018, broken down into </w:t>
      </w:r>
      <w:r>
        <w:rPr>
          <w:rStyle w:val="CharStyle3"/>
          <w:b/>
          <w:bCs/>
        </w:rPr>
        <w:t xml:space="preserve">US$458,763,038 </w:t>
      </w:r>
      <w:r>
        <w:rPr>
          <w:rStyle w:val="CharStyle3"/>
        </w:rPr>
        <w:t xml:space="preserve">Operating Budget and </w:t>
      </w:r>
      <w:r>
        <w:rPr>
          <w:rStyle w:val="CharStyle3"/>
          <w:b/>
          <w:bCs/>
        </w:rPr>
        <w:t xml:space="preserve">US$310,618,856 </w:t>
      </w:r>
      <w:r>
        <w:rPr>
          <w:rStyle w:val="CharStyle3"/>
        </w:rPr>
        <w:t>Programs budget to be financed as follows:</w:t>
      </w:r>
    </w:p>
    <w:p>
      <w:pPr>
        <w:pStyle w:val="Style2"/>
        <w:keepNext w:val="0"/>
        <w:keepLines w:val="0"/>
        <w:widowControl w:val="0"/>
        <w:numPr>
          <w:ilvl w:val="0"/>
          <w:numId w:val="3"/>
        </w:numPr>
        <w:shd w:val="clear" w:color="auto" w:fill="auto"/>
        <w:tabs>
          <w:tab w:pos="1330" w:val="left"/>
        </w:tabs>
        <w:bidi w:val="0"/>
        <w:spacing w:before="0" w:line="240" w:lineRule="auto"/>
        <w:ind w:left="0" w:right="0" w:firstLine="720"/>
        <w:jc w:val="left"/>
      </w:pPr>
      <w:r>
        <w:rPr>
          <w:rStyle w:val="CharStyle3"/>
        </w:rPr>
        <w:t xml:space="preserve">A total amount of </w:t>
      </w:r>
      <w:r>
        <w:rPr>
          <w:rStyle w:val="CharStyle3"/>
          <w:b/>
          <w:bCs/>
        </w:rPr>
        <w:t xml:space="preserve">US$318,276,795 </w:t>
      </w:r>
      <w:r>
        <w:rPr>
          <w:rStyle w:val="CharStyle3"/>
        </w:rPr>
        <w:t>to be assessed on Member States;</w:t>
      </w:r>
    </w:p>
    <w:p>
      <w:pPr>
        <w:pStyle w:val="Style2"/>
        <w:keepNext w:val="0"/>
        <w:keepLines w:val="0"/>
        <w:widowControl w:val="0"/>
        <w:numPr>
          <w:ilvl w:val="0"/>
          <w:numId w:val="3"/>
        </w:numPr>
        <w:shd w:val="clear" w:color="auto" w:fill="auto"/>
        <w:tabs>
          <w:tab w:pos="1330" w:val="left"/>
        </w:tabs>
        <w:bidi w:val="0"/>
        <w:spacing w:before="0" w:after="0" w:line="240" w:lineRule="auto"/>
        <w:ind w:left="0" w:right="0" w:firstLine="720"/>
        <w:jc w:val="left"/>
      </w:pPr>
      <w:r>
        <w:rPr>
          <w:rStyle w:val="CharStyle3"/>
        </w:rPr>
        <w:t xml:space="preserve">A total amount of </w:t>
      </w:r>
      <w:r>
        <w:rPr>
          <w:rStyle w:val="CharStyle3"/>
          <w:b/>
          <w:bCs/>
        </w:rPr>
        <w:t xml:space="preserve">US$451,105,099 </w:t>
      </w:r>
      <w:r>
        <w:rPr>
          <w:rStyle w:val="CharStyle3"/>
        </w:rPr>
        <w:t>to be raised from International</w:t>
      </w:r>
    </w:p>
    <w:p>
      <w:pPr>
        <w:pStyle w:val="Style2"/>
        <w:keepNext w:val="0"/>
        <w:keepLines w:val="0"/>
        <w:widowControl w:val="0"/>
        <w:shd w:val="clear" w:color="auto" w:fill="auto"/>
        <w:bidi w:val="0"/>
        <w:spacing w:before="0" w:line="216" w:lineRule="auto"/>
        <w:ind w:left="1440" w:right="0" w:firstLine="0"/>
        <w:jc w:val="left"/>
      </w:pPr>
      <w:r>
        <w:rPr>
          <w:rStyle w:val="CharStyle3"/>
        </w:rPr>
        <w:t>partners.</w:t>
      </w:r>
    </w:p>
    <w:p>
      <w:pPr>
        <w:pStyle w:val="Style2"/>
        <w:keepNext w:val="0"/>
        <w:keepLines w:val="0"/>
        <w:widowControl w:val="0"/>
        <w:numPr>
          <w:ilvl w:val="0"/>
          <w:numId w:val="1"/>
        </w:numPr>
        <w:shd w:val="clear" w:color="auto" w:fill="auto"/>
        <w:tabs>
          <w:tab w:pos="701" w:val="left"/>
        </w:tabs>
        <w:bidi w:val="0"/>
        <w:spacing w:before="0" w:line="240" w:lineRule="auto"/>
        <w:ind w:left="0" w:right="0" w:firstLine="0"/>
        <w:jc w:val="left"/>
        <w:sectPr>
          <w:footnotePr>
            <w:pos w:val="pageBottom"/>
            <w:numFmt w:val="decimal"/>
            <w:numRestart w:val="continuous"/>
          </w:footnotePr>
          <w:pgSz w:w="12240" w:h="15840"/>
          <w:pgMar w:top="1505" w:right="1389" w:bottom="1505" w:left="1418" w:header="0" w:footer="3" w:gutter="0"/>
          <w:cols w:space="720"/>
          <w:noEndnote/>
          <w:rtlGutter w:val="0"/>
          <w:docGrid w:linePitch="360"/>
        </w:sectPr>
      </w:pPr>
      <w:r>
        <w:rPr>
          <w:rStyle w:val="CharStyle3"/>
          <w:b/>
          <w:bCs/>
        </w:rPr>
        <w:t xml:space="preserve">ALSO ADOPTS </w:t>
      </w:r>
      <w:r>
        <w:rPr>
          <w:rStyle w:val="CharStyle3"/>
        </w:rPr>
        <w:t>the budget breakdown among the AU Organs as follows:</w:t>
      </w:r>
    </w:p>
    <w:tbl>
      <w:tblPr>
        <w:tblOverlap w:val="never"/>
        <w:jc w:val="center"/>
        <w:tblLayout w:type="fixed"/>
      </w:tblPr>
      <w:tblGrid>
        <w:gridCol w:w="1440"/>
        <w:gridCol w:w="1282"/>
        <w:gridCol w:w="1238"/>
        <w:gridCol w:w="1459"/>
        <w:gridCol w:w="1272"/>
        <w:gridCol w:w="1282"/>
        <w:gridCol w:w="1306"/>
        <w:gridCol w:w="1349"/>
        <w:gridCol w:w="1440"/>
        <w:gridCol w:w="1354"/>
      </w:tblGrid>
      <w:tr>
        <w:trPr>
          <w:trHeight w:val="341" w:hRule="exact"/>
        </w:trPr>
        <w:tc>
          <w:tcPr>
            <w:vMerge w:val="restart"/>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00"/>
              <w:jc w:val="left"/>
              <w:rPr>
                <w:sz w:val="18"/>
                <w:szCs w:val="18"/>
              </w:rPr>
            </w:pPr>
            <w:r>
              <w:rPr>
                <w:rStyle w:val="CharStyle8"/>
                <w:b/>
                <w:bCs/>
                <w:sz w:val="18"/>
                <w:szCs w:val="18"/>
              </w:rPr>
              <w:t>Organs</w:t>
            </w:r>
          </w:p>
        </w:tc>
        <w:tc>
          <w:tcPr>
            <w:gridSpan w:val="3"/>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b/>
                <w:bCs/>
                <w:sz w:val="18"/>
                <w:szCs w:val="18"/>
              </w:rPr>
              <w:t>Member States</w:t>
            </w:r>
          </w:p>
        </w:tc>
        <w:tc>
          <w:tcPr>
            <w:gridSpan w:val="3"/>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b/>
                <w:bCs/>
                <w:sz w:val="18"/>
                <w:szCs w:val="18"/>
              </w:rPr>
              <w:t>Partners</w:t>
            </w:r>
          </w:p>
        </w:tc>
        <w:tc>
          <w:tcPr>
            <w:gridSpan w:val="3"/>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b/>
                <w:bCs/>
                <w:sz w:val="18"/>
                <w:szCs w:val="18"/>
              </w:rPr>
              <w:t>Total Budget for 2018</w:t>
            </w:r>
          </w:p>
        </w:tc>
      </w:tr>
      <w:tr>
        <w:trPr>
          <w:trHeight w:val="46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6" w:lineRule="auto"/>
              <w:ind w:left="0" w:right="0" w:firstLine="0"/>
              <w:jc w:val="center"/>
              <w:rPr>
                <w:sz w:val="18"/>
                <w:szCs w:val="18"/>
              </w:rPr>
            </w:pPr>
            <w:r>
              <w:rPr>
                <w:rStyle w:val="CharStyle8"/>
                <w:b/>
                <w:bCs/>
                <w:sz w:val="18"/>
                <w:szCs w:val="18"/>
              </w:rPr>
              <w:t>Operating Budget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b/>
                <w:bCs/>
                <w:sz w:val="18"/>
                <w:szCs w:val="18"/>
              </w:rPr>
              <w:t>Programs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2" w:lineRule="auto"/>
              <w:ind w:left="0" w:right="0" w:firstLine="0"/>
              <w:jc w:val="center"/>
              <w:rPr>
                <w:sz w:val="18"/>
                <w:szCs w:val="18"/>
              </w:rPr>
            </w:pPr>
            <w:r>
              <w:rPr>
                <w:rStyle w:val="CharStyle8"/>
                <w:b/>
                <w:bCs/>
                <w:sz w:val="18"/>
                <w:szCs w:val="18"/>
              </w:rPr>
              <w:t>Total Assessment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b/>
                <w:bCs/>
                <w:sz w:val="18"/>
                <w:szCs w:val="18"/>
              </w:rPr>
              <w:t>Operating</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b/>
                <w:bCs/>
                <w:sz w:val="18"/>
                <w:szCs w:val="18"/>
              </w:rPr>
              <w:t>Programs</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b/>
                <w:bCs/>
                <w:sz w:val="18"/>
                <w:szCs w:val="18"/>
              </w:rPr>
              <w:t>Total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Operating</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80"/>
              <w:jc w:val="left"/>
              <w:rPr>
                <w:sz w:val="18"/>
                <w:szCs w:val="18"/>
              </w:rPr>
            </w:pPr>
            <w:r>
              <w:rPr>
                <w:rStyle w:val="CharStyle8"/>
                <w:b/>
                <w:bCs/>
                <w:sz w:val="18"/>
                <w:szCs w:val="18"/>
              </w:rPr>
              <w:t>Programs</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Total 2018</w:t>
            </w:r>
          </w:p>
        </w:tc>
      </w:tr>
      <w:tr>
        <w:trPr>
          <w:trHeight w:val="221"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AUC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sz w:val="18"/>
                <w:szCs w:val="18"/>
              </w:rPr>
              <w:t>130,948,702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sz w:val="18"/>
                <w:szCs w:val="18"/>
              </w:rPr>
              <w:t>98,174,167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b/>
                <w:bCs/>
                <w:sz w:val="18"/>
                <w:szCs w:val="18"/>
              </w:rPr>
              <w:t>229,122,869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sz w:val="18"/>
                <w:szCs w:val="18"/>
              </w:rPr>
              <w:t>147,801,924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both"/>
              <w:rPr>
                <w:sz w:val="18"/>
                <w:szCs w:val="18"/>
              </w:rPr>
            </w:pPr>
            <w:r>
              <w:rPr>
                <w:rStyle w:val="CharStyle8"/>
                <w:b/>
                <w:bCs/>
                <w:sz w:val="18"/>
                <w:szCs w:val="18"/>
              </w:rPr>
              <w:t>147,801,924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sz w:val="18"/>
                <w:szCs w:val="18"/>
              </w:rPr>
              <w:t>130,948,702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245,976,091</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376,924,793</w:t>
            </w:r>
          </w:p>
        </w:tc>
      </w:tr>
      <w:tr>
        <w:trPr>
          <w:trHeight w:val="28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PAP</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both"/>
              <w:rPr>
                <w:sz w:val="18"/>
                <w:szCs w:val="18"/>
              </w:rPr>
            </w:pPr>
            <w:r>
              <w:rPr>
                <w:rStyle w:val="CharStyle8"/>
                <w:sz w:val="18"/>
                <w:szCs w:val="18"/>
              </w:rPr>
              <w:t>17,044,559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both"/>
              <w:rPr>
                <w:sz w:val="18"/>
                <w:szCs w:val="18"/>
              </w:rPr>
            </w:pPr>
            <w:r>
              <w:rPr>
                <w:rStyle w:val="CharStyle8"/>
                <w:b/>
                <w:bCs/>
                <w:sz w:val="18"/>
                <w:szCs w:val="18"/>
              </w:rPr>
              <w:t>17,044,559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2,920,000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2,920,000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17,044,559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sz w:val="18"/>
                <w:szCs w:val="18"/>
              </w:rPr>
              <w:t>2,920,000</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both"/>
              <w:rPr>
                <w:sz w:val="18"/>
                <w:szCs w:val="18"/>
              </w:rPr>
            </w:pPr>
            <w:r>
              <w:rPr>
                <w:rStyle w:val="CharStyle8"/>
                <w:b/>
                <w:bCs/>
                <w:sz w:val="18"/>
                <w:szCs w:val="18"/>
              </w:rPr>
              <w:t>19,964,559</w:t>
            </w:r>
          </w:p>
        </w:tc>
      </w:tr>
      <w:tr>
        <w:trPr>
          <w:trHeight w:val="432"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left"/>
              <w:rPr>
                <w:sz w:val="18"/>
                <w:szCs w:val="18"/>
              </w:rPr>
            </w:pPr>
            <w:r>
              <w:rPr>
                <w:rStyle w:val="CharStyle8"/>
                <w:sz w:val="18"/>
                <w:szCs w:val="18"/>
              </w:rPr>
              <w:t>AfCHR (The Court)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both"/>
              <w:rPr>
                <w:sz w:val="18"/>
                <w:szCs w:val="18"/>
              </w:rPr>
            </w:pPr>
            <w:r>
              <w:rPr>
                <w:rStyle w:val="CharStyle8"/>
                <w:sz w:val="18"/>
                <w:szCs w:val="18"/>
              </w:rPr>
              <w:t>10,581,742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both"/>
              <w:rPr>
                <w:sz w:val="18"/>
                <w:szCs w:val="18"/>
              </w:rPr>
            </w:pPr>
            <w:r>
              <w:rPr>
                <w:rStyle w:val="CharStyle8"/>
                <w:b/>
                <w:bCs/>
                <w:sz w:val="18"/>
                <w:szCs w:val="18"/>
              </w:rPr>
              <w:t>10,581,742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1,238,417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1,238,417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10,581,742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sz w:val="18"/>
                <w:szCs w:val="18"/>
              </w:rPr>
              <w:t>1,238,417</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both"/>
              <w:rPr>
                <w:sz w:val="18"/>
                <w:szCs w:val="18"/>
              </w:rPr>
            </w:pPr>
            <w:r>
              <w:rPr>
                <w:rStyle w:val="CharStyle8"/>
                <w:b/>
                <w:bCs/>
                <w:sz w:val="18"/>
                <w:szCs w:val="18"/>
              </w:rPr>
              <w:t>11,820,159</w:t>
            </w:r>
          </w:p>
        </w:tc>
      </w:tr>
      <w:tr>
        <w:trPr>
          <w:trHeight w:val="427"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left"/>
              <w:rPr>
                <w:sz w:val="18"/>
                <w:szCs w:val="18"/>
              </w:rPr>
            </w:pPr>
            <w:r>
              <w:rPr>
                <w:rStyle w:val="CharStyle8"/>
                <w:sz w:val="18"/>
                <w:szCs w:val="18"/>
              </w:rPr>
              <w:t>ACHPR (The Commission)</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5,612,542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5,612,542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707,138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20"/>
              <w:jc w:val="both"/>
              <w:rPr>
                <w:sz w:val="18"/>
                <w:szCs w:val="18"/>
              </w:rPr>
            </w:pPr>
            <w:r>
              <w:rPr>
                <w:rStyle w:val="CharStyle8"/>
                <w:b/>
                <w:bCs/>
                <w:sz w:val="18"/>
                <w:szCs w:val="18"/>
              </w:rPr>
              <w:t>707,138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5,612,542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60"/>
              <w:jc w:val="both"/>
              <w:rPr>
                <w:sz w:val="18"/>
                <w:szCs w:val="18"/>
              </w:rPr>
            </w:pPr>
            <w:r>
              <w:rPr>
                <w:rStyle w:val="CharStyle8"/>
                <w:sz w:val="18"/>
                <w:szCs w:val="18"/>
              </w:rPr>
              <w:t>707,138</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6,319,680</w:t>
            </w:r>
          </w:p>
        </w:tc>
      </w:tr>
      <w:tr>
        <w:trPr>
          <w:trHeight w:val="25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ECOSSOC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1,214,363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1,314,303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2,528,666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1,214,363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sz w:val="18"/>
                <w:szCs w:val="18"/>
              </w:rPr>
              <w:t>1,314,303</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2,528,666</w:t>
            </w:r>
          </w:p>
        </w:tc>
      </w:tr>
      <w:tr>
        <w:trPr>
          <w:trHeight w:val="28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NEPAD</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both"/>
              <w:rPr>
                <w:sz w:val="18"/>
                <w:szCs w:val="18"/>
              </w:rPr>
            </w:pPr>
            <w:r>
              <w:rPr>
                <w:rStyle w:val="CharStyle8"/>
                <w:sz w:val="18"/>
                <w:szCs w:val="18"/>
              </w:rPr>
              <w:t>10,299,329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60"/>
              <w:jc w:val="left"/>
              <w:rPr>
                <w:sz w:val="18"/>
                <w:szCs w:val="18"/>
              </w:rPr>
            </w:pPr>
            <w:r>
              <w:rPr>
                <w:rStyle w:val="CharStyle8"/>
                <w:sz w:val="18"/>
                <w:szCs w:val="18"/>
              </w:rPr>
              <w:t>368,486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both"/>
              <w:rPr>
                <w:sz w:val="18"/>
                <w:szCs w:val="18"/>
              </w:rPr>
            </w:pPr>
            <w:r>
              <w:rPr>
                <w:rStyle w:val="CharStyle8"/>
                <w:b/>
                <w:bCs/>
                <w:sz w:val="18"/>
                <w:szCs w:val="18"/>
              </w:rPr>
              <w:t>10,667,815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40,000,000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40,000,000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10,299,329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40,368,486</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both"/>
              <w:rPr>
                <w:sz w:val="18"/>
                <w:szCs w:val="18"/>
              </w:rPr>
            </w:pPr>
            <w:r>
              <w:rPr>
                <w:rStyle w:val="CharStyle8"/>
                <w:b/>
                <w:bCs/>
                <w:sz w:val="18"/>
                <w:szCs w:val="18"/>
              </w:rPr>
              <w:t>50,667,815</w:t>
            </w:r>
          </w:p>
        </w:tc>
      </w:tr>
      <w:tr>
        <w:trPr>
          <w:trHeight w:val="27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AUCIL</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442,576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442,576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325,458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20"/>
              <w:jc w:val="both"/>
              <w:rPr>
                <w:sz w:val="18"/>
                <w:szCs w:val="18"/>
              </w:rPr>
            </w:pPr>
            <w:r>
              <w:rPr>
                <w:rStyle w:val="CharStyle8"/>
                <w:b/>
                <w:bCs/>
                <w:sz w:val="18"/>
                <w:szCs w:val="18"/>
              </w:rPr>
              <w:t>325,458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442,576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60"/>
              <w:jc w:val="both"/>
              <w:rPr>
                <w:sz w:val="18"/>
                <w:szCs w:val="18"/>
              </w:rPr>
            </w:pPr>
            <w:r>
              <w:rPr>
                <w:rStyle w:val="CharStyle8"/>
                <w:sz w:val="18"/>
                <w:szCs w:val="18"/>
              </w:rPr>
              <w:t>325,458</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768,034</w:t>
            </w:r>
          </w:p>
        </w:tc>
      </w:tr>
      <w:tr>
        <w:trPr>
          <w:trHeight w:val="432"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Advisory</w:t>
            </w:r>
          </w:p>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Board on</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2,082,152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60"/>
              <w:jc w:val="left"/>
              <w:rPr>
                <w:sz w:val="18"/>
                <w:szCs w:val="18"/>
              </w:rPr>
            </w:pPr>
            <w:r>
              <w:rPr>
                <w:rStyle w:val="CharStyle8"/>
                <w:sz w:val="18"/>
                <w:szCs w:val="18"/>
              </w:rPr>
              <w:t>761,576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2,843,728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2,082,152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60"/>
              <w:jc w:val="both"/>
              <w:rPr>
                <w:sz w:val="18"/>
                <w:szCs w:val="18"/>
              </w:rPr>
            </w:pPr>
            <w:r>
              <w:rPr>
                <w:rStyle w:val="CharStyle8"/>
                <w:sz w:val="18"/>
                <w:szCs w:val="18"/>
              </w:rPr>
              <w:t>761,576</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2,843,728</w:t>
            </w:r>
          </w:p>
        </w:tc>
      </w:tr>
      <w:tr>
        <w:trPr>
          <w:trHeight w:val="432"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2" w:lineRule="auto"/>
              <w:ind w:left="0" w:right="0" w:firstLine="0"/>
              <w:jc w:val="left"/>
              <w:rPr>
                <w:sz w:val="18"/>
                <w:szCs w:val="18"/>
              </w:rPr>
            </w:pPr>
            <w:r>
              <w:rPr>
                <w:rStyle w:val="CharStyle8"/>
                <w:sz w:val="18"/>
                <w:szCs w:val="18"/>
              </w:rPr>
              <w:t>Peace &amp; Security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3,036,746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3,036,746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sz w:val="18"/>
                <w:szCs w:val="18"/>
              </w:rPr>
              <w:t>3,036,746</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3,036,746</w:t>
            </w:r>
          </w:p>
        </w:tc>
      </w:tr>
      <w:tr>
        <w:trPr>
          <w:trHeight w:val="432"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ACERWC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291,995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left"/>
              <w:rPr>
                <w:sz w:val="18"/>
                <w:szCs w:val="18"/>
              </w:rPr>
            </w:pPr>
            <w:r>
              <w:rPr>
                <w:rStyle w:val="CharStyle8"/>
                <w:sz w:val="18"/>
                <w:szCs w:val="18"/>
              </w:rPr>
              <w:t>88,727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380,722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502,787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20"/>
              <w:jc w:val="both"/>
              <w:rPr>
                <w:sz w:val="18"/>
                <w:szCs w:val="18"/>
              </w:rPr>
            </w:pPr>
            <w:r>
              <w:rPr>
                <w:rStyle w:val="CharStyle8"/>
                <w:b/>
                <w:bCs/>
                <w:sz w:val="18"/>
                <w:szCs w:val="18"/>
              </w:rPr>
              <w:t>502,787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291,995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60"/>
              <w:jc w:val="both"/>
              <w:rPr>
                <w:sz w:val="18"/>
                <w:szCs w:val="18"/>
              </w:rPr>
            </w:pPr>
            <w:r>
              <w:rPr>
                <w:rStyle w:val="CharStyle8"/>
                <w:sz w:val="18"/>
                <w:szCs w:val="18"/>
              </w:rPr>
              <w:t>591,514</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883,509</w:t>
            </w:r>
          </w:p>
        </w:tc>
      </w:tr>
      <w:tr>
        <w:trPr>
          <w:trHeight w:val="432" w:hRule="exact"/>
        </w:trPr>
        <w:tc>
          <w:tcPr>
            <w:gridSpan w:val="10"/>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b/>
                <w:bCs/>
                <w:sz w:val="18"/>
                <w:szCs w:val="18"/>
              </w:rPr>
              <w:t>SPECIALIZED OFFICES OF THE AU</w:t>
            </w:r>
          </w:p>
        </w:tc>
      </w:tr>
      <w:tr>
        <w:trPr>
          <w:trHeight w:val="240"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AFREC</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1,275,699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1,275,699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1,275,699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1,275,699</w:t>
            </w:r>
          </w:p>
        </w:tc>
      </w:tr>
      <w:tr>
        <w:trPr>
          <w:trHeight w:val="27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IPED</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762,647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762,647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762,647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762,647</w:t>
            </w:r>
          </w:p>
        </w:tc>
      </w:tr>
      <w:tr>
        <w:trPr>
          <w:trHeight w:val="28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CIEFFA</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716,656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716,656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716,656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716,656</w:t>
            </w:r>
          </w:p>
        </w:tc>
      </w:tr>
      <w:tr>
        <w:trPr>
          <w:trHeight w:val="27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PAU</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2,821,977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b/>
                <w:bCs/>
                <w:sz w:val="18"/>
                <w:szCs w:val="18"/>
              </w:rPr>
              <w:t>2,821,977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2,821,977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2,821,977</w:t>
            </w:r>
          </w:p>
        </w:tc>
      </w:tr>
      <w:tr>
        <w:trPr>
          <w:trHeight w:val="29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AIR</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749,028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749,028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749,028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749,028</w:t>
            </w:r>
          </w:p>
        </w:tc>
      </w:tr>
      <w:tr>
        <w:trPr>
          <w:trHeight w:val="26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ACDC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sz w:val="18"/>
                <w:szCs w:val="18"/>
              </w:rPr>
              <w:t>3,971,148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sz w:val="18"/>
                <w:szCs w:val="18"/>
              </w:rPr>
              <w:t>11,320,248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both"/>
              <w:rPr>
                <w:sz w:val="18"/>
                <w:szCs w:val="18"/>
              </w:rPr>
            </w:pPr>
            <w:r>
              <w:rPr>
                <w:rStyle w:val="CharStyle8"/>
                <w:b/>
                <w:bCs/>
                <w:sz w:val="18"/>
                <w:szCs w:val="18"/>
              </w:rPr>
              <w:t>15,291,396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2,058,880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2,058,880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3,971,148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sz w:val="18"/>
                <w:szCs w:val="18"/>
              </w:rPr>
              <w:t>13,379,128</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both"/>
              <w:rPr>
                <w:sz w:val="18"/>
                <w:szCs w:val="18"/>
              </w:rPr>
            </w:pPr>
            <w:r>
              <w:rPr>
                <w:rStyle w:val="CharStyle8"/>
                <w:b/>
                <w:bCs/>
                <w:sz w:val="18"/>
                <w:szCs w:val="18"/>
              </w:rPr>
              <w:t>17,350,276</w:t>
            </w:r>
          </w:p>
        </w:tc>
      </w:tr>
      <w:tr>
        <w:trPr>
          <w:trHeight w:val="28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AOSTI</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916,272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916,272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916,272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916,272</w:t>
            </w:r>
          </w:p>
        </w:tc>
      </w:tr>
      <w:tr>
        <w:trPr>
          <w:trHeight w:val="28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AFRIPOL</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left"/>
              <w:rPr>
                <w:sz w:val="18"/>
                <w:szCs w:val="18"/>
              </w:rPr>
            </w:pPr>
            <w:r>
              <w:rPr>
                <w:rStyle w:val="CharStyle8"/>
                <w:sz w:val="18"/>
                <w:szCs w:val="18"/>
              </w:rPr>
              <w:t>948,450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680"/>
              <w:jc w:val="both"/>
              <w:rPr>
                <w:sz w:val="18"/>
                <w:szCs w:val="18"/>
              </w:rPr>
            </w:pPr>
            <w:r>
              <w:rPr>
                <w:rStyle w:val="CharStyle8"/>
                <w:b/>
                <w:bCs/>
                <w:sz w:val="18"/>
                <w:szCs w:val="18"/>
              </w:rPr>
              <w:t>948,450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sz w:val="18"/>
                <w:szCs w:val="18"/>
              </w:rPr>
              <w:t>948,450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60"/>
              <w:jc w:val="both"/>
              <w:rPr>
                <w:sz w:val="18"/>
                <w:szCs w:val="18"/>
              </w:rPr>
            </w:pPr>
            <w:r>
              <w:rPr>
                <w:rStyle w:val="CharStyle8"/>
                <w:b/>
                <w:bCs/>
                <w:sz w:val="18"/>
                <w:szCs w:val="18"/>
              </w:rPr>
              <w:t>948,450</w:t>
            </w:r>
          </w:p>
        </w:tc>
      </w:tr>
      <w:tr>
        <w:trPr>
          <w:trHeight w:val="432" w:hRule="exact"/>
        </w:trPr>
        <w:tc>
          <w:tcPr>
            <w:gridSpan w:val="10"/>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b/>
                <w:bCs/>
                <w:sz w:val="18"/>
                <w:szCs w:val="18"/>
              </w:rPr>
              <w:t>PEACE OPERATIONS</w:t>
            </w:r>
          </w:p>
        </w:tc>
      </w:tr>
      <w:tr>
        <w:trPr>
          <w:trHeight w:val="27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AMISOM</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sz w:val="18"/>
                <w:szCs w:val="18"/>
              </w:rPr>
              <w:t>12,532,704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060" w:right="0" w:firstLine="0"/>
              <w:jc w:val="both"/>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both"/>
              <w:rPr>
                <w:sz w:val="18"/>
                <w:szCs w:val="18"/>
              </w:rPr>
            </w:pPr>
            <w:r>
              <w:rPr>
                <w:rStyle w:val="CharStyle8"/>
                <w:b/>
                <w:bCs/>
                <w:sz w:val="18"/>
                <w:szCs w:val="18"/>
              </w:rPr>
              <w:t>12,532,704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40"/>
              <w:jc w:val="left"/>
              <w:rPr>
                <w:sz w:val="18"/>
                <w:szCs w:val="18"/>
              </w:rPr>
            </w:pPr>
            <w:r>
              <w:rPr>
                <w:rStyle w:val="CharStyle8"/>
                <w:sz w:val="18"/>
                <w:szCs w:val="18"/>
              </w:rPr>
              <w:t>238,121,383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both"/>
              <w:rPr>
                <w:sz w:val="18"/>
                <w:szCs w:val="18"/>
              </w:rPr>
            </w:pPr>
            <w:r>
              <w:rPr>
                <w:rStyle w:val="CharStyle8"/>
                <w:b/>
                <w:bCs/>
                <w:sz w:val="18"/>
                <w:szCs w:val="18"/>
              </w:rPr>
              <w:t>238,121,383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sz w:val="18"/>
                <w:szCs w:val="18"/>
              </w:rPr>
              <w:t>250,654,087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250,654,087</w:t>
            </w:r>
          </w:p>
        </w:tc>
      </w:tr>
      <w:tr>
        <w:trPr>
          <w:trHeight w:val="29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MNJTF</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7,161,400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7,161,400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7,161,400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7,161,400</w:t>
            </w:r>
          </w:p>
        </w:tc>
      </w:tr>
      <w:tr>
        <w:trPr>
          <w:trHeight w:val="26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LRA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1,461,205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1,461,205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1,461,205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1,461,205</w:t>
            </w:r>
          </w:p>
        </w:tc>
      </w:tr>
      <w:tr>
        <w:trPr>
          <w:trHeight w:val="28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sz w:val="18"/>
                <w:szCs w:val="18"/>
              </w:rPr>
              <w:t>HRMOM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b/>
                <w:bCs/>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40"/>
              <w:jc w:val="left"/>
              <w:rPr>
                <w:sz w:val="18"/>
                <w:szCs w:val="18"/>
              </w:rPr>
            </w:pPr>
            <w:r>
              <w:rPr>
                <w:rStyle w:val="CharStyle8"/>
                <w:sz w:val="18"/>
                <w:szCs w:val="18"/>
              </w:rPr>
              <w:t>8,806,508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b/>
                <w:bCs/>
                <w:sz w:val="18"/>
                <w:szCs w:val="18"/>
              </w:rPr>
              <w:t>8,806,508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sz w:val="18"/>
                <w:szCs w:val="18"/>
              </w:rPr>
              <w:t>8,806,508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1260" w:right="0" w:firstLine="0"/>
              <w:jc w:val="both"/>
              <w:rPr>
                <w:sz w:val="18"/>
                <w:szCs w:val="18"/>
              </w:rPr>
            </w:pPr>
            <w:r>
              <w:rPr>
                <w:rStyle w:val="CharStyle8"/>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18"/>
                <w:szCs w:val="18"/>
              </w:rPr>
            </w:pPr>
            <w:r>
              <w:rPr>
                <w:rStyle w:val="CharStyle8"/>
                <w:b/>
                <w:bCs/>
                <w:sz w:val="18"/>
                <w:szCs w:val="18"/>
              </w:rPr>
              <w:t>8,806,508</w:t>
            </w:r>
          </w:p>
        </w:tc>
      </w:tr>
      <w:tr>
        <w:trPr>
          <w:trHeight w:val="403"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00"/>
              <w:jc w:val="left"/>
              <w:rPr>
                <w:sz w:val="18"/>
                <w:szCs w:val="18"/>
              </w:rPr>
            </w:pPr>
            <w:r>
              <w:rPr>
                <w:rStyle w:val="CharStyle8"/>
                <w:b/>
                <w:bCs/>
                <w:sz w:val="18"/>
                <w:szCs w:val="18"/>
              </w:rPr>
              <w:t>TOTAL</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b/>
                <w:bCs/>
                <w:sz w:val="18"/>
                <w:szCs w:val="18"/>
              </w:rPr>
              <w:t>203,212,542</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b/>
                <w:bCs/>
                <w:sz w:val="18"/>
                <w:szCs w:val="18"/>
              </w:rPr>
              <w:t>115,064,253</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b/>
                <w:bCs/>
                <w:sz w:val="18"/>
                <w:szCs w:val="18"/>
              </w:rPr>
              <w:t>318,276,795</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40"/>
              <w:jc w:val="left"/>
              <w:rPr>
                <w:sz w:val="18"/>
                <w:szCs w:val="18"/>
              </w:rPr>
            </w:pPr>
            <w:r>
              <w:rPr>
                <w:rStyle w:val="CharStyle8"/>
                <w:b/>
                <w:bCs/>
                <w:sz w:val="18"/>
                <w:szCs w:val="18"/>
              </w:rPr>
              <w:t>255,550,496</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b/>
                <w:bCs/>
                <w:sz w:val="18"/>
                <w:szCs w:val="18"/>
              </w:rPr>
              <w:t>195,554,603</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both"/>
              <w:rPr>
                <w:sz w:val="18"/>
                <w:szCs w:val="18"/>
              </w:rPr>
            </w:pPr>
            <w:r>
              <w:rPr>
                <w:rStyle w:val="CharStyle8"/>
                <w:b/>
                <w:bCs/>
                <w:sz w:val="18"/>
                <w:szCs w:val="18"/>
              </w:rPr>
              <w:t>451,105,099</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458,763,038</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80"/>
              <w:jc w:val="both"/>
              <w:rPr>
                <w:sz w:val="18"/>
                <w:szCs w:val="18"/>
              </w:rPr>
            </w:pPr>
            <w:r>
              <w:rPr>
                <w:rStyle w:val="CharStyle8"/>
                <w:b/>
                <w:bCs/>
                <w:sz w:val="18"/>
                <w:szCs w:val="18"/>
              </w:rPr>
              <w:t>310,618,856</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20"/>
              <w:jc w:val="left"/>
              <w:rPr>
                <w:sz w:val="18"/>
                <w:szCs w:val="18"/>
              </w:rPr>
            </w:pPr>
            <w:r>
              <w:rPr>
                <w:rStyle w:val="CharStyle8"/>
                <w:b/>
                <w:bCs/>
                <w:sz w:val="18"/>
                <w:szCs w:val="18"/>
              </w:rPr>
              <w:t>769,381,894</w:t>
            </w:r>
          </w:p>
        </w:tc>
      </w:tr>
    </w:tbl>
    <w:p>
      <w:pPr>
        <w:sectPr>
          <w:footnotePr>
            <w:pos w:val="pageBottom"/>
            <w:numFmt w:val="decimal"/>
            <w:numRestart w:val="continuous"/>
          </w:footnotePr>
          <w:pgSz w:w="15840" w:h="12240" w:orient="landscape"/>
          <w:pgMar w:top="1489" w:right="977" w:bottom="1129" w:left="1442" w:header="0" w:footer="3" w:gutter="0"/>
          <w:cols w:space="720"/>
          <w:noEndnote/>
          <w:rtlGutter w:val="0"/>
          <w:docGrid w:linePitch="360"/>
        </w:sectPr>
      </w:pPr>
    </w:p>
    <w:p>
      <w:pPr>
        <w:pStyle w:val="Style2"/>
        <w:keepNext w:val="0"/>
        <w:keepLines w:val="0"/>
        <w:widowControl w:val="0"/>
        <w:numPr>
          <w:ilvl w:val="0"/>
          <w:numId w:val="1"/>
        </w:numPr>
        <w:shd w:val="clear" w:color="auto" w:fill="auto"/>
        <w:tabs>
          <w:tab w:pos="701" w:val="left"/>
        </w:tabs>
        <w:bidi w:val="0"/>
        <w:spacing w:before="300" w:line="240" w:lineRule="auto"/>
        <w:ind w:left="720" w:right="0" w:hanging="720"/>
        <w:jc w:val="left"/>
      </w:pPr>
      <w:r>
        <w:rPr>
          <w:rStyle w:val="CharStyle3"/>
          <w:b/>
          <w:bCs/>
        </w:rPr>
        <w:t xml:space="preserve">FURTHER ADOPTS </w:t>
      </w:r>
      <w:r>
        <w:rPr>
          <w:rStyle w:val="CharStyle3"/>
        </w:rPr>
        <w:t>the 2018 budget breakdown by expense components as follows:</w:t>
      </w:r>
    </w:p>
    <w:tbl>
      <w:tblPr>
        <w:tblOverlap w:val="never"/>
        <w:jc w:val="center"/>
        <w:tblLayout w:type="fixed"/>
      </w:tblPr>
      <w:tblGrid>
        <w:gridCol w:w="1699"/>
        <w:gridCol w:w="1330"/>
        <w:gridCol w:w="1330"/>
        <w:gridCol w:w="1152"/>
        <w:gridCol w:w="1334"/>
        <w:gridCol w:w="1325"/>
        <w:gridCol w:w="1339"/>
      </w:tblGrid>
      <w:tr>
        <w:trPr>
          <w:trHeight w:val="56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Staff Cost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center"/>
              <w:rPr>
                <w:sz w:val="20"/>
                <w:szCs w:val="20"/>
              </w:rPr>
            </w:pPr>
            <w:r>
              <w:rPr>
                <w:rStyle w:val="CharStyle8"/>
                <w:b/>
                <w:bCs/>
                <w:sz w:val="20"/>
                <w:szCs w:val="20"/>
              </w:rPr>
              <w:t>Operating Expenses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center"/>
              <w:rPr>
                <w:sz w:val="20"/>
                <w:szCs w:val="20"/>
              </w:rPr>
            </w:pPr>
            <w:r>
              <w:rPr>
                <w:rStyle w:val="CharStyle8"/>
                <w:b/>
                <w:bCs/>
                <w:sz w:val="20"/>
                <w:szCs w:val="20"/>
              </w:rPr>
              <w:t>Capital Expenses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center"/>
              <w:rPr>
                <w:sz w:val="20"/>
                <w:szCs w:val="20"/>
              </w:rPr>
            </w:pPr>
            <w:r>
              <w:rPr>
                <w:rStyle w:val="CharStyle8"/>
                <w:b/>
                <w:bCs/>
                <w:sz w:val="20"/>
                <w:szCs w:val="20"/>
              </w:rPr>
              <w:t>Sub-Total Operational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b/>
                <w:bCs/>
                <w:sz w:val="20"/>
                <w:szCs w:val="20"/>
              </w:rPr>
              <w:t>Programs</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TOTAL</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AUG</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90,843,197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37,607,080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both"/>
              <w:rPr>
                <w:sz w:val="20"/>
                <w:szCs w:val="20"/>
              </w:rPr>
            </w:pPr>
            <w:r>
              <w:rPr>
                <w:rStyle w:val="CharStyle8"/>
                <w:sz w:val="20"/>
                <w:szCs w:val="20"/>
              </w:rPr>
              <w:t>2,498,424</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both"/>
              <w:rPr>
                <w:sz w:val="20"/>
                <w:szCs w:val="20"/>
              </w:rPr>
            </w:pPr>
            <w:r>
              <w:rPr>
                <w:rStyle w:val="CharStyle8"/>
                <w:b/>
                <w:bCs/>
                <w:sz w:val="20"/>
                <w:szCs w:val="20"/>
              </w:rPr>
              <w:t>130,948,702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245,976,091</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376,924,793</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NE PAD</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8,089,713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2,057,641</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151,975</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10,299,329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40,368,486</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50,667,815</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PAP</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9,810,122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7,062,993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171,444</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17,044,559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2,920,000</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19,964,559</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ACDC</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2,708,414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1,172,733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20"/>
                <w:szCs w:val="20"/>
              </w:rPr>
            </w:pPr>
            <w:r>
              <w:rPr>
                <w:rStyle w:val="CharStyle8"/>
                <w:sz w:val="20"/>
                <w:szCs w:val="20"/>
              </w:rPr>
              <w:t>90,000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3,971,148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13,379,128</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17,350,276</w:t>
            </w:r>
          </w:p>
        </w:tc>
      </w:tr>
      <w:tr>
        <w:trPr>
          <w:trHeight w:val="50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2" w:lineRule="auto"/>
              <w:ind w:left="0" w:right="0" w:firstLine="0"/>
              <w:jc w:val="left"/>
              <w:rPr>
                <w:sz w:val="20"/>
                <w:szCs w:val="20"/>
              </w:rPr>
            </w:pPr>
            <w:r>
              <w:rPr>
                <w:rStyle w:val="CharStyle8"/>
                <w:sz w:val="20"/>
                <w:szCs w:val="20"/>
              </w:rPr>
              <w:t>AfCHR (The Court)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6,628,196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3,663,726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289,820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10,581,742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1,238,417</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11,820,159</w:t>
            </w:r>
          </w:p>
        </w:tc>
      </w:tr>
      <w:tr>
        <w:trPr>
          <w:trHeight w:val="50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7" w:lineRule="auto"/>
              <w:ind w:left="0" w:right="0" w:firstLine="0"/>
              <w:jc w:val="left"/>
              <w:rPr>
                <w:sz w:val="20"/>
                <w:szCs w:val="20"/>
              </w:rPr>
            </w:pPr>
            <w:r>
              <w:rPr>
                <w:rStyle w:val="CharStyle8"/>
                <w:sz w:val="20"/>
                <w:szCs w:val="20"/>
              </w:rPr>
              <w:t>ACHPR (The Commission)</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3,192,542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2,376,000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20"/>
                <w:szCs w:val="20"/>
              </w:rPr>
            </w:pPr>
            <w:r>
              <w:rPr>
                <w:rStyle w:val="CharStyle8"/>
                <w:sz w:val="20"/>
                <w:szCs w:val="20"/>
              </w:rPr>
              <w:t>44,000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5,612,542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707,138</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6,319,680</w:t>
            </w:r>
          </w:p>
        </w:tc>
      </w:tr>
      <w:tr>
        <w:trPr>
          <w:trHeight w:val="50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2" w:lineRule="auto"/>
              <w:ind w:left="0" w:right="0" w:firstLine="0"/>
              <w:jc w:val="left"/>
              <w:rPr>
                <w:sz w:val="20"/>
                <w:szCs w:val="20"/>
              </w:rPr>
            </w:pPr>
            <w:r>
              <w:rPr>
                <w:rStyle w:val="CharStyle8"/>
                <w:sz w:val="20"/>
                <w:szCs w:val="20"/>
              </w:rPr>
              <w:t>Advisory Board on Corruption</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864,938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1,217,214</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both"/>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2,082,152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761,576</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2,843,728</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PAU</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2,146,895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672,083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sz w:val="20"/>
                <w:szCs w:val="20"/>
              </w:rPr>
              <w:t>3,000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2,821,977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2,821,977</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ECOSSOC</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1,214,363</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1,214,363</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1,314,303</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2,528,666</w:t>
            </w:r>
          </w:p>
        </w:tc>
      </w:tr>
      <w:tr>
        <w:trPr>
          <w:trHeight w:val="50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Peace &amp;</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Security Council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3,036,746</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3,036,746</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AFREC</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sz w:val="20"/>
                <w:szCs w:val="20"/>
              </w:rPr>
              <w:t>1,127,099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123,600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20"/>
                <w:szCs w:val="20"/>
              </w:rPr>
            </w:pPr>
            <w:r>
              <w:rPr>
                <w:rStyle w:val="CharStyle8"/>
                <w:sz w:val="20"/>
                <w:szCs w:val="20"/>
              </w:rPr>
              <w:t>25,000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1,275,699</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1,275,699</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AFRIPOL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left"/>
              <w:rPr>
                <w:sz w:val="20"/>
                <w:szCs w:val="20"/>
              </w:rPr>
            </w:pPr>
            <w:r>
              <w:rPr>
                <w:rStyle w:val="CharStyle8"/>
                <w:sz w:val="20"/>
                <w:szCs w:val="20"/>
              </w:rPr>
              <w:t>712,350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sz w:val="20"/>
                <w:szCs w:val="20"/>
              </w:rPr>
              <w:t>96,100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140,000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948,450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948,450</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AOSTI</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left"/>
              <w:rPr>
                <w:sz w:val="20"/>
                <w:szCs w:val="20"/>
              </w:rPr>
            </w:pPr>
            <w:r>
              <w:rPr>
                <w:rStyle w:val="CharStyle8"/>
                <w:sz w:val="20"/>
                <w:szCs w:val="20"/>
              </w:rPr>
              <w:t>699,938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131,234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20"/>
                <w:szCs w:val="20"/>
              </w:rPr>
            </w:pPr>
            <w:r>
              <w:rPr>
                <w:rStyle w:val="CharStyle8"/>
                <w:sz w:val="20"/>
                <w:szCs w:val="20"/>
              </w:rPr>
              <w:t>85,100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916,272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916,272</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ACERWC</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600"/>
              <w:jc w:val="left"/>
              <w:rPr>
                <w:sz w:val="20"/>
                <w:szCs w:val="20"/>
              </w:rPr>
            </w:pPr>
            <w:r>
              <w:rPr>
                <w:rStyle w:val="CharStyle8"/>
                <w:sz w:val="20"/>
                <w:szCs w:val="20"/>
              </w:rPr>
              <w:t>28,835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263,160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291,995</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591,514</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883,509</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AUCIL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442,576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442,576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325,458</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768,034</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IPED</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left"/>
              <w:rPr>
                <w:sz w:val="20"/>
                <w:szCs w:val="20"/>
              </w:rPr>
            </w:pPr>
            <w:r>
              <w:rPr>
                <w:rStyle w:val="CharStyle8"/>
                <w:sz w:val="20"/>
                <w:szCs w:val="20"/>
              </w:rPr>
              <w:t>516,881</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116,566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129,200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762,647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762,647</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AIR</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left"/>
              <w:rPr>
                <w:sz w:val="20"/>
                <w:szCs w:val="20"/>
              </w:rPr>
            </w:pPr>
            <w:r>
              <w:rPr>
                <w:rStyle w:val="CharStyle8"/>
                <w:sz w:val="20"/>
                <w:szCs w:val="20"/>
              </w:rPr>
              <w:t>569,400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138,600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20"/>
              <w:jc w:val="both"/>
              <w:rPr>
                <w:sz w:val="20"/>
                <w:szCs w:val="20"/>
              </w:rPr>
            </w:pPr>
            <w:r>
              <w:rPr>
                <w:rStyle w:val="CharStyle8"/>
                <w:sz w:val="20"/>
                <w:szCs w:val="20"/>
              </w:rPr>
              <w:t>41,028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749,028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749,028</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CIEFFA</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left"/>
              <w:rPr>
                <w:sz w:val="20"/>
                <w:szCs w:val="20"/>
              </w:rPr>
            </w:pPr>
            <w:r>
              <w:rPr>
                <w:rStyle w:val="CharStyle8"/>
                <w:sz w:val="20"/>
                <w:szCs w:val="20"/>
              </w:rPr>
              <w:t>480,484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sz w:val="20"/>
                <w:szCs w:val="20"/>
              </w:rPr>
              <w:t>122,972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20"/>
                <w:szCs w:val="20"/>
              </w:rPr>
            </w:pPr>
            <w:r>
              <w:rPr>
                <w:rStyle w:val="CharStyle8"/>
                <w:sz w:val="20"/>
                <w:szCs w:val="20"/>
              </w:rPr>
              <w:t>113,200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716,656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80"/>
              <w:jc w:val="both"/>
              <w:rPr>
                <w:sz w:val="20"/>
                <w:szCs w:val="20"/>
              </w:rPr>
            </w:pPr>
            <w:r>
              <w:rPr>
                <w:rStyle w:val="CharStyle8"/>
                <w:b/>
                <w:bCs/>
                <w:sz w:val="20"/>
                <w:szCs w:val="20"/>
              </w:rPr>
              <w:t>716,656</w:t>
            </w:r>
          </w:p>
        </w:tc>
      </w:tr>
      <w:tr>
        <w:trPr>
          <w:trHeight w:val="1003"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59" w:lineRule="auto"/>
              <w:ind w:left="0" w:right="0" w:firstLine="0"/>
              <w:jc w:val="center"/>
              <w:rPr>
                <w:sz w:val="20"/>
                <w:szCs w:val="20"/>
              </w:rPr>
            </w:pPr>
            <w:r>
              <w:rPr>
                <w:rStyle w:val="CharStyle8"/>
                <w:b/>
                <w:bCs/>
                <w:sz w:val="20"/>
                <w:szCs w:val="20"/>
              </w:rPr>
              <w:t>Sub-Total excluding Peace Support Operations</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128,419,006</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b/>
                <w:bCs/>
                <w:sz w:val="20"/>
                <w:szCs w:val="20"/>
              </w:rPr>
              <w:t>58,478,641</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both"/>
              <w:rPr>
                <w:sz w:val="20"/>
                <w:szCs w:val="20"/>
              </w:rPr>
            </w:pPr>
            <w:r>
              <w:rPr>
                <w:rStyle w:val="CharStyle8"/>
                <w:b/>
                <w:bCs/>
                <w:sz w:val="20"/>
                <w:szCs w:val="20"/>
              </w:rPr>
              <w:t>3,782,191</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both"/>
              <w:rPr>
                <w:sz w:val="20"/>
                <w:szCs w:val="20"/>
              </w:rPr>
            </w:pPr>
            <w:r>
              <w:rPr>
                <w:rStyle w:val="CharStyle8"/>
                <w:b/>
                <w:bCs/>
                <w:sz w:val="20"/>
                <w:szCs w:val="20"/>
              </w:rPr>
              <w:t>190,679,838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310,518,856</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501,198,694</w:t>
            </w:r>
          </w:p>
        </w:tc>
      </w:tr>
      <w:tr>
        <w:trPr>
          <w:trHeight w:val="509"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AMISOM</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14,483,387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236,170,700</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both"/>
              <w:rPr>
                <w:sz w:val="20"/>
                <w:szCs w:val="20"/>
              </w:rPr>
            </w:pPr>
            <w:r>
              <w:rPr>
                <w:rStyle w:val="CharStyle8"/>
                <w:b/>
                <w:bCs/>
                <w:sz w:val="20"/>
                <w:szCs w:val="20"/>
              </w:rPr>
              <w:t>250,654,087</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250,654,087</w:t>
            </w:r>
          </w:p>
        </w:tc>
      </w:tr>
      <w:tr>
        <w:trPr>
          <w:trHeight w:val="514"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MNJTF</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7,161,400</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980"/>
              <w:jc w:val="left"/>
              <w:rPr>
                <w:sz w:val="20"/>
                <w:szCs w:val="20"/>
              </w:rPr>
            </w:pPr>
            <w:r>
              <w:rPr>
                <w:rStyle w:val="CharStyle8"/>
                <w:b/>
                <w:bCs/>
                <w:sz w:val="20"/>
                <w:szCs w:val="20"/>
              </w:rPr>
              <w:t>-</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both"/>
              <w:rPr>
                <w:sz w:val="20"/>
                <w:szCs w:val="20"/>
              </w:rPr>
            </w:pPr>
            <w:r>
              <w:rPr>
                <w:rStyle w:val="CharStyle8"/>
                <w:b/>
                <w:bCs/>
                <w:sz w:val="20"/>
                <w:szCs w:val="20"/>
              </w:rPr>
              <w:t>7,161,400</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both"/>
              <w:rPr>
                <w:sz w:val="20"/>
                <w:szCs w:val="20"/>
              </w:rPr>
            </w:pPr>
            <w:r>
              <w:rPr>
                <w:rStyle w:val="CharStyle8"/>
                <w:b/>
                <w:bCs/>
                <w:sz w:val="20"/>
                <w:szCs w:val="20"/>
              </w:rPr>
              <w:t>-</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7,161,400</w:t>
            </w:r>
          </w:p>
        </w:tc>
      </w:tr>
    </w:tbl>
    <w:tbl>
      <w:tblPr>
        <w:tblOverlap w:val="never"/>
        <w:jc w:val="center"/>
        <w:tblLayout w:type="fixed"/>
      </w:tblPr>
      <w:tblGrid>
        <w:gridCol w:w="1699"/>
        <w:gridCol w:w="1330"/>
        <w:gridCol w:w="1330"/>
        <w:gridCol w:w="1152"/>
        <w:gridCol w:w="1330"/>
        <w:gridCol w:w="1330"/>
        <w:gridCol w:w="1334"/>
      </w:tblGrid>
      <w:tr>
        <w:trPr>
          <w:trHeight w:val="57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Staff Cost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71" w:lineRule="auto"/>
              <w:ind w:left="0" w:right="0" w:firstLine="0"/>
              <w:jc w:val="center"/>
              <w:rPr>
                <w:sz w:val="20"/>
                <w:szCs w:val="20"/>
              </w:rPr>
            </w:pPr>
            <w:r>
              <w:rPr>
                <w:rStyle w:val="CharStyle8"/>
                <w:b/>
                <w:bCs/>
                <w:sz w:val="20"/>
                <w:szCs w:val="20"/>
              </w:rPr>
              <w:t>Operating Expenses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6" w:lineRule="auto"/>
              <w:ind w:left="0" w:right="0" w:firstLine="0"/>
              <w:jc w:val="center"/>
              <w:rPr>
                <w:sz w:val="20"/>
                <w:szCs w:val="20"/>
              </w:rPr>
            </w:pPr>
            <w:r>
              <w:rPr>
                <w:rStyle w:val="CharStyle8"/>
                <w:b/>
                <w:bCs/>
                <w:sz w:val="20"/>
                <w:szCs w:val="20"/>
              </w:rPr>
              <w:t>Capital Expenses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6" w:lineRule="auto"/>
              <w:ind w:left="0" w:right="0" w:firstLine="0"/>
              <w:jc w:val="center"/>
              <w:rPr>
                <w:sz w:val="20"/>
                <w:szCs w:val="20"/>
              </w:rPr>
            </w:pPr>
            <w:r>
              <w:rPr>
                <w:rStyle w:val="CharStyle8"/>
                <w:b/>
                <w:bCs/>
                <w:sz w:val="20"/>
                <w:szCs w:val="20"/>
              </w:rPr>
              <w:t>Sub-Total Operational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b/>
                <w:bCs/>
                <w:sz w:val="20"/>
                <w:szCs w:val="20"/>
              </w:rPr>
              <w:t>Programs</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TOTAL</w:t>
            </w:r>
          </w:p>
        </w:tc>
      </w:tr>
      <w:tr>
        <w:trPr>
          <w:trHeight w:val="51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LRA</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1,461,205</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1,461,205</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1,461,205</w:t>
            </w:r>
          </w:p>
        </w:tc>
      </w:tr>
      <w:tr>
        <w:trPr>
          <w:trHeight w:val="504"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HRMOM</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1140" w:right="0" w:firstLine="0"/>
              <w:jc w:val="lef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sz w:val="20"/>
                <w:szCs w:val="20"/>
              </w:rPr>
              <w:t>8,806,508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8,806,508</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320"/>
              <w:jc w:val="left"/>
              <w:rPr>
                <w:sz w:val="20"/>
                <w:szCs w:val="20"/>
              </w:rPr>
            </w:pPr>
            <w:r>
              <w:rPr>
                <w:rStyle w:val="CharStyle8"/>
                <w:b/>
                <w:bCs/>
                <w:sz w:val="20"/>
                <w:szCs w:val="20"/>
              </w:rPr>
              <w:t>8,806,508</w:t>
            </w:r>
          </w:p>
        </w:tc>
      </w:tr>
      <w:tr>
        <w:trPr>
          <w:trHeight w:val="75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62" w:lineRule="auto"/>
              <w:ind w:left="0" w:right="0" w:firstLine="0"/>
              <w:jc w:val="center"/>
              <w:rPr>
                <w:sz w:val="20"/>
                <w:szCs w:val="20"/>
              </w:rPr>
            </w:pPr>
            <w:r>
              <w:rPr>
                <w:rStyle w:val="CharStyle8"/>
                <w:b/>
                <w:bCs/>
                <w:sz w:val="20"/>
                <w:szCs w:val="20"/>
              </w:rPr>
              <w:t>Sub-Total Peace Support Operations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b/>
                <w:bCs/>
                <w:sz w:val="20"/>
                <w:szCs w:val="20"/>
              </w:rPr>
              <w:t>14,483,387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253,599,813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268,083,200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20"/>
                <w:szCs w:val="20"/>
              </w:rPr>
            </w:pPr>
            <w:r>
              <w:rPr>
                <w:rStyle w:val="CharStyle8"/>
                <w:b/>
                <w:bCs/>
                <w:sz w:val="20"/>
                <w:szCs w:val="20"/>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268,083,200</w:t>
            </w:r>
          </w:p>
        </w:tc>
      </w:tr>
      <w:tr>
        <w:trPr>
          <w:trHeight w:val="326" w:hRule="exact"/>
        </w:trPr>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Grand Total</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142,902,393</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312,078,454</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140"/>
              <w:jc w:val="left"/>
              <w:rPr>
                <w:sz w:val="20"/>
                <w:szCs w:val="20"/>
              </w:rPr>
            </w:pPr>
            <w:r>
              <w:rPr>
                <w:rStyle w:val="CharStyle8"/>
                <w:b/>
                <w:bCs/>
                <w:sz w:val="20"/>
                <w:szCs w:val="20"/>
              </w:rPr>
              <w:t>3,782,191</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458,763,038</w:t>
            </w:r>
          </w:p>
        </w:tc>
        <w:tc>
          <w:tcPr>
            <w:tcBorders>
              <w:top w:val="single" w:sz="4"/>
              <w:left w:val="single" w:sz="4"/>
              <w:bottom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310,618,856</w:t>
            </w:r>
          </w:p>
        </w:tc>
        <w:tc>
          <w:tcPr>
            <w:tcBorders>
              <w:top w:val="single" w:sz="4"/>
              <w:left w:val="single" w:sz="4"/>
              <w:bottom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769,381,894</w:t>
            </w:r>
          </w:p>
        </w:tc>
      </w:tr>
    </w:tbl>
    <w:p>
      <w:pPr>
        <w:widowControl w:val="0"/>
        <w:spacing w:after="279" w:line="1" w:lineRule="exact"/>
      </w:pPr>
    </w:p>
    <w:p>
      <w:pPr>
        <w:pStyle w:val="Style2"/>
        <w:keepNext w:val="0"/>
        <w:keepLines w:val="0"/>
        <w:widowControl w:val="0"/>
        <w:numPr>
          <w:ilvl w:val="0"/>
          <w:numId w:val="1"/>
        </w:numPr>
        <w:shd w:val="clear" w:color="auto" w:fill="auto"/>
        <w:tabs>
          <w:tab w:pos="701" w:val="left"/>
        </w:tabs>
        <w:bidi w:val="0"/>
        <w:spacing w:before="0" w:after="280" w:line="240" w:lineRule="auto"/>
        <w:ind w:left="0" w:right="0" w:firstLine="0"/>
        <w:jc w:val="left"/>
      </w:pPr>
      <w:r>
        <w:rPr>
          <w:rStyle w:val="CharStyle3"/>
          <w:b/>
          <w:bCs/>
        </w:rPr>
        <w:t xml:space="preserve">REQUESTS </w:t>
      </w:r>
      <w:r>
        <w:rPr>
          <w:rStyle w:val="CharStyle3"/>
        </w:rPr>
        <w:t>the Commission:</w:t>
      </w:r>
    </w:p>
    <w:p>
      <w:pPr>
        <w:pStyle w:val="Style2"/>
        <w:keepNext w:val="0"/>
        <w:keepLines w:val="0"/>
        <w:widowControl w:val="0"/>
        <w:numPr>
          <w:ilvl w:val="0"/>
          <w:numId w:val="5"/>
        </w:numPr>
        <w:shd w:val="clear" w:color="auto" w:fill="auto"/>
        <w:tabs>
          <w:tab w:pos="1430" w:val="left"/>
        </w:tabs>
        <w:bidi w:val="0"/>
        <w:spacing w:before="0" w:after="280" w:line="240" w:lineRule="auto"/>
        <w:ind w:left="1440" w:right="0" w:hanging="720"/>
        <w:jc w:val="both"/>
      </w:pPr>
      <w:r>
        <w:rPr>
          <w:rStyle w:val="CharStyle3"/>
        </w:rPr>
        <w:t xml:space="preserve">to refer to the Peace and Security Council the funding gap of </w:t>
      </w:r>
      <w:r>
        <w:rPr>
          <w:rStyle w:val="CharStyle3"/>
          <w:b/>
          <w:bCs/>
        </w:rPr>
        <w:t xml:space="preserve">US$81,846,337 </w:t>
      </w:r>
      <w:r>
        <w:rPr>
          <w:rStyle w:val="CharStyle3"/>
        </w:rPr>
        <w:t>for AM ISOM created due to a decision by the European Union to withdraw 20% of their annual funding;</w:t>
      </w:r>
    </w:p>
    <w:p>
      <w:pPr>
        <w:pStyle w:val="Style2"/>
        <w:keepNext w:val="0"/>
        <w:keepLines w:val="0"/>
        <w:widowControl w:val="0"/>
        <w:numPr>
          <w:ilvl w:val="0"/>
          <w:numId w:val="5"/>
        </w:numPr>
        <w:shd w:val="clear" w:color="auto" w:fill="auto"/>
        <w:tabs>
          <w:tab w:pos="1430" w:val="left"/>
        </w:tabs>
        <w:bidi w:val="0"/>
        <w:spacing w:before="0" w:after="280" w:line="240" w:lineRule="auto"/>
        <w:ind w:left="1440" w:right="0" w:hanging="720"/>
        <w:jc w:val="both"/>
      </w:pPr>
      <w:r>
        <w:rPr>
          <w:rStyle w:val="CharStyle3"/>
        </w:rPr>
        <w:t>to coordinate and oversee the budget process from all Organs before submission to the competent PRC Sub-Committee for scrutiny and endorsement;</w:t>
      </w:r>
    </w:p>
    <w:p>
      <w:pPr>
        <w:pStyle w:val="Style2"/>
        <w:keepNext w:val="0"/>
        <w:keepLines w:val="0"/>
        <w:widowControl w:val="0"/>
        <w:numPr>
          <w:ilvl w:val="0"/>
          <w:numId w:val="5"/>
        </w:numPr>
        <w:shd w:val="clear" w:color="auto" w:fill="auto"/>
        <w:tabs>
          <w:tab w:pos="1430" w:val="left"/>
        </w:tabs>
        <w:bidi w:val="0"/>
        <w:spacing w:before="0" w:after="280" w:line="240" w:lineRule="auto"/>
        <w:ind w:left="1440" w:right="0" w:hanging="720"/>
        <w:jc w:val="both"/>
      </w:pPr>
      <w:r>
        <w:rPr>
          <w:rStyle w:val="CharStyle3"/>
        </w:rPr>
        <w:t>to use a new format in preparing the AU budget which should be backed by a projection on future remittance of Member States and any other relevant information in accordance with the related Decisions adopted by the AU in order to facilitate the efficient consideration and adoption by Member States.</w:t>
      </w:r>
    </w:p>
    <w:p>
      <w:pPr>
        <w:pStyle w:val="Style2"/>
        <w:keepNext w:val="0"/>
        <w:keepLines w:val="0"/>
        <w:widowControl w:val="0"/>
        <w:numPr>
          <w:ilvl w:val="0"/>
          <w:numId w:val="1"/>
        </w:numPr>
        <w:shd w:val="clear" w:color="auto" w:fill="auto"/>
        <w:tabs>
          <w:tab w:pos="701" w:val="left"/>
        </w:tabs>
        <w:bidi w:val="0"/>
        <w:spacing w:before="0" w:after="280" w:line="240" w:lineRule="auto"/>
        <w:ind w:left="720" w:right="0" w:hanging="720"/>
        <w:jc w:val="both"/>
      </w:pPr>
      <w:r>
        <w:rPr>
          <w:rStyle w:val="CharStyle3"/>
          <w:b/>
          <w:bCs/>
        </w:rPr>
        <w:t xml:space="preserve">URGES </w:t>
      </w:r>
      <w:r>
        <w:rPr>
          <w:rStyle w:val="CharStyle3"/>
        </w:rPr>
        <w:t>the Commission to further improve and strengthen the budget process by introducing a budget that is focused on priorities along with establishing a mechanism to allow results based assessment and monitoring;</w:t>
      </w:r>
    </w:p>
    <w:p>
      <w:pPr>
        <w:pStyle w:val="Style2"/>
        <w:keepNext w:val="0"/>
        <w:keepLines w:val="0"/>
        <w:widowControl w:val="0"/>
        <w:numPr>
          <w:ilvl w:val="0"/>
          <w:numId w:val="1"/>
        </w:numPr>
        <w:shd w:val="clear" w:color="auto" w:fill="auto"/>
        <w:tabs>
          <w:tab w:pos="701" w:val="left"/>
        </w:tabs>
        <w:bidi w:val="0"/>
        <w:spacing w:before="0" w:after="280" w:line="221" w:lineRule="auto"/>
        <w:ind w:left="720" w:right="0" w:hanging="720"/>
        <w:jc w:val="both"/>
      </w:pPr>
      <w:r>
        <w:rPr>
          <w:rStyle w:val="CharStyle3"/>
          <w:b/>
          <w:bCs/>
        </w:rPr>
        <w:t xml:space="preserve">CALLS UPON </w:t>
      </w:r>
      <w:r>
        <w:rPr>
          <w:rStyle w:val="CharStyle3"/>
        </w:rPr>
        <w:t>the Commission to harmonize all allowances across all AU Organs and bring to the PRC for endorsement;</w:t>
      </w:r>
    </w:p>
    <w:p>
      <w:pPr>
        <w:pStyle w:val="Style5"/>
        <w:keepNext/>
        <w:keepLines/>
        <w:widowControl w:val="0"/>
        <w:numPr>
          <w:ilvl w:val="0"/>
          <w:numId w:val="1"/>
        </w:numPr>
        <w:shd w:val="clear" w:color="auto" w:fill="auto"/>
        <w:tabs>
          <w:tab w:pos="701" w:val="left"/>
        </w:tabs>
        <w:bidi w:val="0"/>
        <w:spacing w:before="0" w:after="280" w:line="240" w:lineRule="auto"/>
        <w:ind w:left="0" w:right="0" w:firstLine="0"/>
        <w:jc w:val="left"/>
      </w:pPr>
      <w:bookmarkStart w:id="2" w:name="bookmark2"/>
      <w:r>
        <w:rPr>
          <w:rStyle w:val="CharStyle6"/>
          <w:b/>
          <w:bCs/>
        </w:rPr>
        <w:t>REQUESTS:</w:t>
      </w:r>
      <w:bookmarkEnd w:id="2"/>
    </w:p>
    <w:p>
      <w:pPr>
        <w:pStyle w:val="Style2"/>
        <w:keepNext w:val="0"/>
        <w:keepLines w:val="0"/>
        <w:widowControl w:val="0"/>
        <w:numPr>
          <w:ilvl w:val="0"/>
          <w:numId w:val="7"/>
        </w:numPr>
        <w:shd w:val="clear" w:color="auto" w:fill="auto"/>
        <w:tabs>
          <w:tab w:pos="1065" w:val="left"/>
        </w:tabs>
        <w:bidi w:val="0"/>
        <w:spacing w:before="0" w:after="280" w:line="240" w:lineRule="auto"/>
        <w:ind w:left="1060" w:right="0" w:hanging="480"/>
        <w:jc w:val="both"/>
      </w:pPr>
      <w:r>
        <w:rPr>
          <w:rStyle w:val="CharStyle3"/>
        </w:rPr>
        <w:t>the PRC at the fifth year of implementing Decision Assembly/AU/Dec.578(XXV), on the Scale of Assessment and Alternative Sources of Financing the African Union, to assess the level of the implementation of the latter and make the appropriate recommendations to the Executive Council with the objective to fund 100% of the Operational Budget, 75% of the Program Budget and 25% of the Peace Support Operations by 2020, with a view to aligning the implementation timeframe with the actual capacity of Member States to pay;</w:t>
      </w:r>
    </w:p>
    <w:p>
      <w:pPr>
        <w:pStyle w:val="Style2"/>
        <w:keepNext w:val="0"/>
        <w:keepLines w:val="0"/>
        <w:widowControl w:val="0"/>
        <w:numPr>
          <w:ilvl w:val="0"/>
          <w:numId w:val="7"/>
        </w:numPr>
        <w:shd w:val="clear" w:color="auto" w:fill="auto"/>
        <w:tabs>
          <w:tab w:pos="985" w:val="left"/>
        </w:tabs>
        <w:bidi w:val="0"/>
        <w:spacing w:before="0" w:after="280" w:line="240" w:lineRule="auto"/>
        <w:ind w:left="1060" w:right="0" w:hanging="560"/>
        <w:jc w:val="both"/>
      </w:pPr>
      <w:r>
        <w:rPr>
          <w:rStyle w:val="CharStyle3"/>
        </w:rPr>
        <w:t>the PRC, in accordance with the AU Financial Rules, to propose modalities for the effective and efficient management of the Reserve Fund by the Commission;</w:t>
      </w:r>
    </w:p>
    <w:p>
      <w:pPr>
        <w:pStyle w:val="Style2"/>
        <w:keepNext w:val="0"/>
        <w:keepLines w:val="0"/>
        <w:widowControl w:val="0"/>
        <w:numPr>
          <w:ilvl w:val="0"/>
          <w:numId w:val="7"/>
        </w:numPr>
        <w:shd w:val="clear" w:color="auto" w:fill="auto"/>
        <w:tabs>
          <w:tab w:pos="985" w:val="left"/>
        </w:tabs>
        <w:bidi w:val="0"/>
        <w:spacing w:before="0" w:after="280" w:line="240" w:lineRule="auto"/>
        <w:ind w:left="1060" w:right="0" w:hanging="560"/>
        <w:jc w:val="both"/>
      </w:pPr>
      <w:r>
        <w:rPr>
          <w:rStyle w:val="CharStyle3"/>
        </w:rPr>
        <w:t>the Commission to work out all legal, structural and financial implications affecting the relocation of ECOSOCC to Lusaka, Zambia and submit to the PRC for supplementary budget consideration;</w:t>
      </w:r>
    </w:p>
    <w:p>
      <w:pPr>
        <w:pStyle w:val="Style2"/>
        <w:keepNext w:val="0"/>
        <w:keepLines w:val="0"/>
        <w:widowControl w:val="0"/>
        <w:numPr>
          <w:ilvl w:val="0"/>
          <w:numId w:val="7"/>
        </w:numPr>
        <w:shd w:val="clear" w:color="auto" w:fill="auto"/>
        <w:tabs>
          <w:tab w:pos="985" w:val="left"/>
        </w:tabs>
        <w:bidi w:val="0"/>
        <w:spacing w:before="0" w:after="280" w:line="240" w:lineRule="auto"/>
        <w:ind w:left="1060" w:right="0" w:hanging="560"/>
        <w:jc w:val="both"/>
      </w:pPr>
      <w:r>
        <w:rPr>
          <w:rStyle w:val="CharStyle3"/>
        </w:rPr>
        <w:t>the Commission to utilize the comparative advantage of Member States to finance the implementation of specific approved projects or programmes, through financial or in-kind contribution received from a Member State concerned that has been specifically earmarked by the AU for that purpose.</w:t>
      </w:r>
    </w:p>
    <w:sectPr>
      <w:footnotePr>
        <w:pos w:val="pageBottom"/>
        <w:numFmt w:val="decimal"/>
        <w:numRestart w:val="continuous"/>
      </w:footnotePr>
      <w:pgSz w:w="12240" w:h="15840"/>
      <w:pgMar w:top="1450" w:right="1296" w:bottom="1564" w:left="1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