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HOSTING OF THE AFRICAN</w:t>
        <w:br/>
        <w:t>MINERALS DEVELOPMENT CENTRE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5"/>
        </w:rPr>
        <w:t>Doc. EX.CL/1075(XXXII)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RECALLS </w:t>
      </w:r>
      <w:r>
        <w:rPr>
          <w:rStyle w:val="CharStyle5"/>
        </w:rPr>
        <w:t xml:space="preserve">Decision </w:t>
      </w:r>
      <w:r>
        <w:rPr>
          <w:rStyle w:val="CharStyle5"/>
          <w:b/>
          <w:bCs/>
        </w:rPr>
        <w:t xml:space="preserve">EX.CL/Dec.857(XXVI) </w:t>
      </w:r>
      <w:r>
        <w:rPr>
          <w:rStyle w:val="CharStyle5"/>
        </w:rPr>
        <w:t xml:space="preserve">of January 2015 on the establishment of the African Minerals Development Centre (AMDC) as a Specialized Agency of the African Union to coordinate the implementation of the Africa Mining Vision that was adopted by Decision </w:t>
      </w:r>
      <w:r>
        <w:rPr>
          <w:rStyle w:val="CharStyle5"/>
          <w:b/>
          <w:bCs/>
        </w:rPr>
        <w:t xml:space="preserve">EX.CL/Dec.471(XIV) </w:t>
      </w:r>
      <w:r>
        <w:rPr>
          <w:rStyle w:val="CharStyle5"/>
        </w:rPr>
        <w:t>of the January 2009 Summit;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DECIDES </w:t>
      </w:r>
      <w:r>
        <w:rPr>
          <w:rStyle w:val="CharStyle5"/>
        </w:rPr>
        <w:t>that further consultations be undertaken and report to the next June/July 2018 Assembly Session;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26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CALLS UPON </w:t>
      </w:r>
      <w:r>
        <w:rPr>
          <w:rStyle w:val="CharStyle5"/>
        </w:rPr>
        <w:t>Member States to expedite the signature and ratification of the AMDC Statute;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APPRECIATES </w:t>
      </w:r>
      <w:r>
        <w:rPr>
          <w:rStyle w:val="CharStyle5"/>
        </w:rPr>
        <w:t xml:space="preserve">the success of the ongoing transition for the AMDC from UNECA to the Commission and </w:t>
      </w: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continue engaging partners on resource mobilization to ensure the sustainability of the AMDC.</w:t>
      </w:r>
    </w:p>
    <w:sectPr>
      <w:footnotePr>
        <w:pos w:val="pageBottom"/>
        <w:numFmt w:val="decimal"/>
        <w:numRestart w:val="continuous"/>
      </w:footnotePr>
      <w:pgSz w:w="12240" w:h="15840"/>
      <w:pgMar w:top="1451" w:right="1388" w:bottom="1885" w:left="142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