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21" w:lineRule="auto"/>
        <w:ind w:left="0" w:right="0" w:firstLine="0"/>
        <w:jc w:val="center"/>
      </w:pPr>
      <w:r>
        <w:rPr>
          <w:rStyle w:val="CharStyle3"/>
          <w:b/>
          <w:bCs/>
        </w:rPr>
        <w:t>DECISION ON THE LEGAL INSTRUMENTS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280" w:line="226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recommendations of the Executive Council for the consideration and adoption of the Draft Legal Instruments;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ADOPTS </w:t>
      </w:r>
      <w:r>
        <w:rPr>
          <w:rStyle w:val="CharStyle3"/>
        </w:rPr>
        <w:t>the Legal Instruments as follows: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6" w:val="left"/>
        </w:tabs>
        <w:bidi w:val="0"/>
        <w:spacing w:before="0" w:after="180" w:line="240" w:lineRule="auto"/>
        <w:ind w:left="0" w:right="0" w:firstLine="700"/>
        <w:jc w:val="left"/>
      </w:pPr>
      <w:r>
        <w:rPr>
          <w:rStyle w:val="CharStyle3"/>
        </w:rPr>
        <w:t>Statute of the Trust Fund for victims of Hissene Habre crimes;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6" w:val="left"/>
        </w:tabs>
        <w:bidi w:val="0"/>
        <w:spacing w:before="0" w:after="180" w:line="240" w:lineRule="auto"/>
        <w:ind w:left="1260" w:right="0" w:hanging="560"/>
        <w:jc w:val="left"/>
      </w:pPr>
      <w:r>
        <w:rPr>
          <w:rStyle w:val="CharStyle3"/>
        </w:rPr>
        <w:t>Amendment to Articles 10 and 14 of the Statutes of the Economic, Social and Cultural Council of the African Union (ECOSOCC);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6" w:val="left"/>
        </w:tabs>
        <w:bidi w:val="0"/>
        <w:spacing w:before="0" w:after="180" w:line="240" w:lineRule="auto"/>
        <w:ind w:left="1260" w:right="0" w:hanging="560"/>
        <w:jc w:val="left"/>
      </w:pPr>
      <w:r>
        <w:rPr>
          <w:rStyle w:val="CharStyle3"/>
        </w:rPr>
        <w:t>Statute of the African Institute for Remittances;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6" w:val="left"/>
        </w:tabs>
        <w:bidi w:val="0"/>
        <w:spacing w:before="0" w:after="180" w:line="240" w:lineRule="auto"/>
        <w:ind w:left="1260" w:right="0" w:hanging="560"/>
        <w:jc w:val="left"/>
      </w:pPr>
      <w:r>
        <w:rPr>
          <w:rStyle w:val="CharStyle3"/>
        </w:rPr>
        <w:t>Institutional and Regulatory Texts of the Yamoussoukro Decision;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6" w:val="left"/>
        </w:tabs>
        <w:bidi w:val="0"/>
        <w:spacing w:before="0" w:after="180" w:line="240" w:lineRule="auto"/>
        <w:ind w:left="1260" w:right="0" w:hanging="560"/>
        <w:jc w:val="left"/>
      </w:pPr>
      <w:r>
        <w:rPr>
          <w:rStyle w:val="CharStyle3"/>
        </w:rPr>
        <w:t>Protocol to the Treaty Establishing the African Economic Community relating to Free Movement of Persons, Rights of Residence and Right of Establishment and its Implementation Roadmap;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6" w:val="left"/>
        </w:tabs>
        <w:bidi w:val="0"/>
        <w:spacing w:before="0" w:after="180" w:line="240" w:lineRule="auto"/>
        <w:ind w:left="1260" w:right="0" w:hanging="560"/>
        <w:jc w:val="left"/>
      </w:pPr>
      <w:r>
        <w:rPr>
          <w:rStyle w:val="CharStyle3"/>
        </w:rPr>
        <w:t>African Union Model Law for the implementation of the African Union Convention for the Protection of and Assistance to Internally Displaced Persons in Africa;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6" w:val="left"/>
        </w:tabs>
        <w:bidi w:val="0"/>
        <w:spacing w:before="0" w:after="180" w:line="233" w:lineRule="auto"/>
        <w:ind w:left="1260" w:right="0" w:hanging="560"/>
        <w:jc w:val="left"/>
      </w:pPr>
      <w:r>
        <w:rPr>
          <w:rStyle w:val="CharStyle3"/>
        </w:rPr>
        <w:t>Protocol to the African Charter on Human and Peoples’ Rights on the Rights of Persons with Disability in Africa;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6" w:val="left"/>
        </w:tabs>
        <w:bidi w:val="0"/>
        <w:spacing w:before="0" w:after="460" w:line="240" w:lineRule="auto"/>
        <w:ind w:left="0" w:right="0" w:firstLine="700"/>
        <w:jc w:val="left"/>
      </w:pPr>
      <w:r>
        <w:rPr>
          <w:rStyle w:val="CharStyle3"/>
        </w:rPr>
        <w:t>Statute of the African Space Agency.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180" w:line="23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CALLS ON </w:t>
      </w:r>
      <w:r>
        <w:rPr>
          <w:rStyle w:val="CharStyle3"/>
        </w:rPr>
        <w:t>Member States to sign and ratify the above Legal Instruments, where applicable, to enable them to enter into force.</w:t>
      </w:r>
    </w:p>
    <w:sectPr>
      <w:footnotePr>
        <w:pos w:val="pageBottom"/>
        <w:numFmt w:val="decimal"/>
        <w:numRestart w:val="continuous"/>
      </w:footnotePr>
      <w:pgSz w:w="12240" w:h="15840"/>
      <w:pgMar w:top="1457" w:right="1389" w:bottom="1106" w:left="141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