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REPORT ON THE HOSTING OF THE AFRICAN</w:t>
        <w:br/>
        <w:t>MINERALS DEVELOPMENT CENTRE (AMDC)</w:t>
        <w:br/>
        <w:t>Doc. Assembly/AU/10(XXXI)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both"/>
      </w:pPr>
      <w:r>
        <w:rPr>
          <w:rStyle w:val="CharStyle3"/>
          <w:b/>
          <w:bCs/>
        </w:rPr>
        <w:t xml:space="preserve">RECALLS </w:t>
      </w:r>
      <w:r>
        <w:rPr>
          <w:rStyle w:val="CharStyle3"/>
        </w:rPr>
        <w:t>Decision Assembly/AU/Dec.667(XXX) of January 2018 wherein it was decided that further consultations on the hosting of the African Minerals Development Centre (AMDC) be undertaken and report to the June/July 2018 Assembly Session;</w:t>
      </w:r>
    </w:p>
    <w:p>
      <w:pPr>
        <w:pStyle w:val="Style2"/>
        <w:keepNext w:val="0"/>
        <w:keepLines w:val="0"/>
        <w:widowControl w:val="0"/>
        <w:numPr>
          <w:ilvl w:val="0"/>
          <w:numId w:val="1"/>
        </w:numPr>
        <w:shd w:val="clear" w:color="auto" w:fill="auto"/>
        <w:tabs>
          <w:tab w:pos="715" w:val="left"/>
        </w:tabs>
        <w:bidi w:val="0"/>
        <w:spacing w:before="0" w:line="233" w:lineRule="auto"/>
        <w:ind w:left="720" w:right="0" w:hanging="720"/>
        <w:jc w:val="both"/>
      </w:pPr>
      <w:r>
        <w:rPr>
          <w:rStyle w:val="CharStyle3"/>
          <w:b/>
          <w:bCs/>
        </w:rPr>
        <w:t xml:space="preserve">APPRECIATES </w:t>
      </w:r>
      <w:r>
        <w:rPr>
          <w:rStyle w:val="CharStyle3"/>
        </w:rPr>
        <w:t>the transition of the AMDC from UNECA to the Commission of the African Union and the efforts of the latter to mobilize resources for the sustainability of the AMDC;</w:t>
      </w:r>
    </w:p>
    <w:p>
      <w:pPr>
        <w:pStyle w:val="Style2"/>
        <w:keepNext w:val="0"/>
        <w:keepLines w:val="0"/>
        <w:widowControl w:val="0"/>
        <w:numPr>
          <w:ilvl w:val="0"/>
          <w:numId w:val="1"/>
        </w:numPr>
        <w:shd w:val="clear" w:color="auto" w:fill="auto"/>
        <w:tabs>
          <w:tab w:pos="715" w:val="left"/>
        </w:tabs>
        <w:bidi w:val="0"/>
        <w:spacing w:before="0" w:line="240" w:lineRule="auto"/>
        <w:ind w:left="720" w:right="0" w:hanging="720"/>
        <w:jc w:val="both"/>
      </w:pPr>
      <w:r>
        <w:rPr>
          <w:rStyle w:val="CharStyle3"/>
          <w:b/>
          <w:bCs/>
        </w:rPr>
        <w:t xml:space="preserve">COMMENDS </w:t>
      </w:r>
      <w:r>
        <w:rPr>
          <w:rStyle w:val="CharStyle3"/>
        </w:rPr>
        <w:t>the Commission for mobilizing through cooperating Partners funds amounting to US$ two million (2) to support the African Mining Vision (AMV) implementation and AMDC Interim Secretariat pending the conclusion of the hosting arrangements and operationalization of the AMDC including setting up the AMDC Governance Structures for a period of two (2) years;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left"/>
      </w:pPr>
      <w:r>
        <w:rPr>
          <w:rStyle w:val="CharStyle3"/>
          <w:b/>
          <w:bCs/>
        </w:rPr>
        <w:t xml:space="preserve">DECIDES </w:t>
      </w:r>
      <w:r>
        <w:rPr>
          <w:rStyle w:val="CharStyle3"/>
        </w:rPr>
        <w:t>that the AMDC shall be hosted by the Republic of Guinea;</w:t>
      </w:r>
    </w:p>
    <w:p>
      <w:pPr>
        <w:pStyle w:val="Style2"/>
        <w:keepNext w:val="0"/>
        <w:keepLines w:val="0"/>
        <w:widowControl w:val="0"/>
        <w:numPr>
          <w:ilvl w:val="0"/>
          <w:numId w:val="1"/>
        </w:numPr>
        <w:shd w:val="clear" w:color="auto" w:fill="auto"/>
        <w:tabs>
          <w:tab w:pos="715" w:val="left"/>
        </w:tabs>
        <w:bidi w:val="0"/>
        <w:spacing w:before="0" w:after="0" w:line="240" w:lineRule="auto"/>
        <w:ind w:left="0" w:right="0" w:firstLine="0"/>
        <w:jc w:val="both"/>
      </w:pPr>
      <w:r>
        <w:rPr>
          <w:rStyle w:val="CharStyle3"/>
          <w:b/>
          <w:bCs/>
        </w:rPr>
        <w:t xml:space="preserve">FURTHER DECIDES </w:t>
      </w:r>
      <w:r>
        <w:rPr>
          <w:rStyle w:val="CharStyle3"/>
        </w:rPr>
        <w:t>that the AMDC Secretariat move to the Commission by</w:t>
      </w:r>
    </w:p>
    <w:p>
      <w:pPr>
        <w:pStyle w:val="Style2"/>
        <w:keepNext w:val="0"/>
        <w:keepLines w:val="0"/>
        <w:widowControl w:val="0"/>
        <w:shd w:val="clear" w:color="auto" w:fill="auto"/>
        <w:bidi w:val="0"/>
        <w:spacing w:before="0" w:line="240" w:lineRule="auto"/>
        <w:ind w:left="720" w:right="0" w:firstLine="0"/>
        <w:jc w:val="left"/>
      </w:pPr>
      <w:r>
        <w:rPr>
          <w:rStyle w:val="CharStyle3"/>
        </w:rPr>
        <w:t>end of September 2018 for the interim period of not more than one (1) year to allow the Commission to finalize the Hosting arrangements, setting up of the Governance Structures as well as facilitate the ratification process;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left"/>
      </w:pPr>
      <w:r>
        <w:rPr>
          <w:rStyle w:val="CharStyle3"/>
          <w:b/>
          <w:bCs/>
        </w:rPr>
        <w:t xml:space="preserve">URGES </w:t>
      </w:r>
      <w:r>
        <w:rPr>
          <w:rStyle w:val="CharStyle3"/>
        </w:rPr>
        <w:t>Member States to expedite the ratification of the AMDC Statute;</w:t>
      </w:r>
    </w:p>
    <w:p>
      <w:pPr>
        <w:pStyle w:val="Style2"/>
        <w:keepNext w:val="0"/>
        <w:keepLines w:val="0"/>
        <w:widowControl w:val="0"/>
        <w:numPr>
          <w:ilvl w:val="0"/>
          <w:numId w:val="1"/>
        </w:numPr>
        <w:shd w:val="clear" w:color="auto" w:fill="auto"/>
        <w:tabs>
          <w:tab w:pos="715" w:val="left"/>
        </w:tabs>
        <w:bidi w:val="0"/>
        <w:spacing w:before="0" w:after="340" w:line="233" w:lineRule="auto"/>
        <w:ind w:left="720" w:right="0" w:hanging="720"/>
        <w:jc w:val="both"/>
      </w:pPr>
      <w:r>
        <w:rPr>
          <w:rStyle w:val="CharStyle3"/>
          <w:b/>
          <w:bCs/>
        </w:rPr>
        <w:t xml:space="preserve">DIRECTS </w:t>
      </w:r>
      <w:r>
        <w:rPr>
          <w:rStyle w:val="CharStyle3"/>
        </w:rPr>
        <w:t>the Commission to present a comprehensive report to the February 2019 Summit on the progress made in the transfer of AMDC to the Commission, operationalization of the AMDC governance structures as well as the status of ratification of the AMDC Statute;</w:t>
      </w:r>
    </w:p>
    <w:p>
      <w:pPr>
        <w:pStyle w:val="Style2"/>
        <w:keepNext w:val="0"/>
        <w:keepLines w:val="0"/>
        <w:widowControl w:val="0"/>
        <w:numPr>
          <w:ilvl w:val="0"/>
          <w:numId w:val="1"/>
        </w:numPr>
        <w:shd w:val="clear" w:color="auto" w:fill="auto"/>
        <w:tabs>
          <w:tab w:pos="715" w:val="left"/>
        </w:tabs>
        <w:bidi w:val="0"/>
        <w:spacing w:before="0" w:after="340" w:line="233" w:lineRule="auto"/>
        <w:ind w:left="720" w:right="0" w:hanging="720"/>
        <w:jc w:val="both"/>
      </w:pPr>
      <w:r>
        <w:rPr>
          <w:rStyle w:val="CharStyle3"/>
          <w:b/>
          <w:bCs/>
        </w:rPr>
        <w:t xml:space="preserve">REQUESTS </w:t>
      </w:r>
      <w:r>
        <w:rPr>
          <w:rStyle w:val="CharStyle3"/>
        </w:rPr>
        <w:t>the Chairperson of the Commission to commission an independent forensic audit of the scoring of the bids for the Member States to host AMDC with a view to establishing what went wrong and take remedial measures to ensure that this does not recur in the future;</w:t>
      </w:r>
    </w:p>
    <w:p>
      <w:pPr>
        <w:pStyle w:val="Style2"/>
        <w:keepNext w:val="0"/>
        <w:keepLines w:val="0"/>
        <w:widowControl w:val="0"/>
        <w:numPr>
          <w:ilvl w:val="0"/>
          <w:numId w:val="1"/>
        </w:numPr>
        <w:shd w:val="clear" w:color="auto" w:fill="auto"/>
        <w:tabs>
          <w:tab w:pos="715" w:val="left"/>
        </w:tabs>
        <w:bidi w:val="0"/>
        <w:spacing w:before="0" w:line="218" w:lineRule="auto"/>
        <w:ind w:left="720" w:right="0" w:hanging="720"/>
        <w:jc w:val="both"/>
      </w:pPr>
      <w:r>
        <w:rPr>
          <w:rStyle w:val="CharStyle3"/>
          <w:b/>
          <w:bCs/>
        </w:rPr>
        <w:t xml:space="preserve">FURTHER REQUESTS </w:t>
      </w:r>
      <w:r>
        <w:rPr>
          <w:rStyle w:val="CharStyle3"/>
        </w:rPr>
        <w:t>the Chairperson of the Commission to submit the results of the forensic audit with appropriate recommendations to the February 2019 Summit.</w:t>
      </w:r>
    </w:p>
    <w:sectPr>
      <w:footnotePr>
        <w:pos w:val="pageBottom"/>
        <w:numFmt w:val="decimal"/>
        <w:numRestart w:val="continuous"/>
      </w:footnotePr>
      <w:pgSz w:w="12240" w:h="15840"/>
      <w:pgMar w:top="1464" w:right="1035" w:bottom="2452" w:left="1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