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1260" w:right="0" w:firstLine="0"/>
        <w:jc w:val="right"/>
      </w:pPr>
      <w:r>
        <w:rPr>
          <w:b/>
          <w:bCs/>
          <w:color w:val="000000"/>
          <w:spacing w:val="0"/>
          <w:w w:val="100"/>
          <w:position w:val="0"/>
          <w:sz w:val="20"/>
          <w:szCs w:val="20"/>
        </w:rPr>
        <w:t xml:space="preserve">Assembly/AU/Dec.750(XXXIII) Page 1 </w:t>
      </w:r>
      <w:r>
        <w:rPr>
          <w:b/>
          <w:bCs/>
          <w:color w:val="000000"/>
          <w:spacing w:val="0"/>
          <w:w w:val="100"/>
          <w:position w:val="0"/>
          <w:sz w:val="24"/>
          <w:szCs w:val="24"/>
        </w:rPr>
        <w:t>DECISION ON THE STRUCTURES OF THE AFRICAN UNION COMMISSION, ORGANS AND SPECIALIZED AGENCIES</w:t>
      </w:r>
    </w:p>
    <w:p>
      <w:pPr>
        <w:pStyle w:val="Style2"/>
        <w:keepNext w:val="0"/>
        <w:keepLines w:val="0"/>
        <w:widowControl w:val="0"/>
        <w:shd w:val="clear" w:color="auto" w:fill="auto"/>
        <w:bidi w:val="0"/>
        <w:spacing w:before="0" w:after="340" w:line="233" w:lineRule="auto"/>
        <w:ind w:left="0" w:right="0" w:firstLine="0"/>
        <w:jc w:val="left"/>
      </w:pPr>
      <w:r>
        <w:rPr>
          <w:b/>
          <w:bCs/>
          <w:color w:val="000000"/>
          <w:spacing w:val="0"/>
          <w:w w:val="100"/>
          <w:position w:val="0"/>
          <w:sz w:val="24"/>
          <w:szCs w:val="24"/>
        </w:rPr>
        <w:t>The Assembly,</w:t>
      </w:r>
    </w:p>
    <w:p>
      <w:pPr>
        <w:pStyle w:val="Style2"/>
        <w:keepNext w:val="0"/>
        <w:keepLines w:val="0"/>
        <w:widowControl w:val="0"/>
        <w:shd w:val="clear" w:color="auto" w:fill="auto"/>
        <w:bidi w:val="0"/>
        <w:spacing w:before="0" w:after="260" w:line="240" w:lineRule="auto"/>
        <w:ind w:left="700" w:right="0" w:firstLine="20"/>
        <w:jc w:val="both"/>
      </w:pPr>
      <w:r>
        <w:rPr>
          <w:b/>
          <w:bCs/>
          <w:color w:val="000000"/>
          <w:spacing w:val="0"/>
          <w:w w:val="100"/>
          <w:position w:val="0"/>
          <w:sz w:val="24"/>
          <w:szCs w:val="24"/>
        </w:rPr>
        <w:t xml:space="preserve">RECALLS </w:t>
      </w:r>
      <w:r>
        <w:rPr>
          <w:color w:val="000000"/>
          <w:spacing w:val="0"/>
          <w:w w:val="100"/>
          <w:position w:val="0"/>
          <w:sz w:val="24"/>
          <w:szCs w:val="24"/>
        </w:rPr>
        <w:t>Decision Ext/Assembly/AU/Dec.1 (XI) of the AU Extraordinary Session of the Assembly of Heads of State and Government of November 2018 on the Institutional Reform of the African Union (AU), which mandated the Chairperson of the Commission to develop a new departmental structure that is lean and performance-oriented, taking into account the division of labour between the African Union, RECs and Regional Mechanisms, Member States and continental Organisations;</w:t>
      </w:r>
    </w:p>
    <w:p>
      <w:pPr>
        <w:pStyle w:val="Style2"/>
        <w:keepNext w:val="0"/>
        <w:keepLines w:val="0"/>
        <w:widowControl w:val="0"/>
        <w:numPr>
          <w:ilvl w:val="0"/>
          <w:numId w:val="1"/>
        </w:numPr>
        <w:shd w:val="clear" w:color="auto" w:fill="auto"/>
        <w:tabs>
          <w:tab w:pos="715" w:val="left"/>
          <w:tab w:pos="6106" w:val="left"/>
        </w:tabs>
        <w:bidi w:val="0"/>
        <w:spacing w:before="0" w:after="0" w:line="240" w:lineRule="auto"/>
        <w:ind w:left="0" w:right="0" w:firstLine="0"/>
        <w:jc w:val="both"/>
      </w:pPr>
      <w:bookmarkStart w:id="0" w:name="bookmark0"/>
      <w:bookmarkEnd w:id="0"/>
      <w:r>
        <w:rPr>
          <w:b/>
          <w:bCs/>
          <w:color w:val="000000"/>
          <w:spacing w:val="0"/>
          <w:w w:val="100"/>
          <w:position w:val="0"/>
          <w:sz w:val="24"/>
          <w:szCs w:val="24"/>
        </w:rPr>
        <w:t xml:space="preserve">ALSO RECALLS </w:t>
      </w:r>
      <w:r>
        <w:rPr>
          <w:color w:val="000000"/>
          <w:spacing w:val="0"/>
          <w:w w:val="100"/>
          <w:position w:val="0"/>
          <w:sz w:val="24"/>
          <w:szCs w:val="24"/>
        </w:rPr>
        <w:t>Decisions</w:t>
        <w:tab/>
        <w:t>Assembly/AU/Dec.728(XXXII),</w:t>
      </w:r>
    </w:p>
    <w:p>
      <w:pPr>
        <w:pStyle w:val="Style2"/>
        <w:keepNext w:val="0"/>
        <w:keepLines w:val="0"/>
        <w:widowControl w:val="0"/>
        <w:shd w:val="clear" w:color="auto" w:fill="auto"/>
        <w:tabs>
          <w:tab w:pos="2490" w:val="left"/>
        </w:tabs>
        <w:bidi w:val="0"/>
        <w:spacing w:before="0" w:after="0" w:line="240" w:lineRule="auto"/>
        <w:ind w:left="700" w:right="0" w:firstLine="20"/>
        <w:jc w:val="both"/>
      </w:pPr>
      <w:r>
        <w:rPr>
          <w:color w:val="000000"/>
          <w:spacing w:val="0"/>
          <w:w w:val="100"/>
          <w:position w:val="0"/>
          <w:sz w:val="24"/>
          <w:szCs w:val="24"/>
        </w:rPr>
        <w:t>EX.CL/Dec.987(XXXII), Assembly/AU/Dec.730(XXXII), Assembly/AU/Dec.695 (XXXI),</w:t>
        <w:tab/>
        <w:t>EX.CL/Dec.820(XXV), Assembly/AU/Dec.636(XXXVIII),</w:t>
      </w:r>
    </w:p>
    <w:p>
      <w:pPr>
        <w:pStyle w:val="Style2"/>
        <w:keepNext w:val="0"/>
        <w:keepLines w:val="0"/>
        <w:widowControl w:val="0"/>
        <w:shd w:val="clear" w:color="auto" w:fill="auto"/>
        <w:bidi w:val="0"/>
        <w:spacing w:before="0" w:after="260" w:line="240" w:lineRule="auto"/>
        <w:ind w:left="700" w:right="0" w:firstLine="20"/>
        <w:jc w:val="both"/>
      </w:pPr>
      <w:r>
        <w:rPr>
          <w:color w:val="000000"/>
          <w:spacing w:val="0"/>
          <w:w w:val="100"/>
          <w:position w:val="0"/>
          <w:sz w:val="24"/>
          <w:szCs w:val="24"/>
        </w:rPr>
        <w:t>EX.CL/1153(XXXV), Assembly/AU/Dec.729(XXXII), EX.CL/Dec.1010(XXXIII), Assembly/AU/Dec.452 (XX), and Assembly/AU/Dec.2 (XXVI);</w:t>
      </w:r>
    </w:p>
    <w:p>
      <w:pPr>
        <w:pStyle w:val="Style2"/>
        <w:keepNext w:val="0"/>
        <w:keepLines w:val="0"/>
        <w:widowControl w:val="0"/>
        <w:numPr>
          <w:ilvl w:val="0"/>
          <w:numId w:val="1"/>
        </w:numPr>
        <w:shd w:val="clear" w:color="auto" w:fill="auto"/>
        <w:tabs>
          <w:tab w:pos="715" w:val="left"/>
        </w:tabs>
        <w:bidi w:val="0"/>
        <w:spacing w:before="0" w:after="260" w:line="240" w:lineRule="auto"/>
        <w:ind w:left="700" w:right="0" w:hanging="700"/>
        <w:jc w:val="both"/>
      </w:pPr>
      <w:bookmarkStart w:id="1" w:name="bookmark1"/>
      <w:bookmarkEnd w:id="1"/>
      <w:r>
        <w:rPr>
          <w:b/>
          <w:bCs/>
          <w:color w:val="000000"/>
          <w:spacing w:val="0"/>
          <w:w w:val="100"/>
          <w:position w:val="0"/>
          <w:sz w:val="24"/>
          <w:szCs w:val="24"/>
        </w:rPr>
        <w:t xml:space="preserve">TAKES NOTE </w:t>
      </w:r>
      <w:r>
        <w:rPr>
          <w:color w:val="000000"/>
          <w:spacing w:val="0"/>
          <w:w w:val="100"/>
          <w:position w:val="0"/>
          <w:sz w:val="24"/>
          <w:szCs w:val="24"/>
        </w:rPr>
        <w:t xml:space="preserve">of Decision EX.CL/Dec.1 (XXXVI) of the Executive Council and </w:t>
      </w:r>
      <w:r>
        <w:rPr>
          <w:b/>
          <w:bCs/>
          <w:color w:val="000000"/>
          <w:spacing w:val="0"/>
          <w:w w:val="100"/>
          <w:position w:val="0"/>
          <w:sz w:val="24"/>
          <w:szCs w:val="24"/>
        </w:rPr>
        <w:t xml:space="preserve">ADOPTS </w:t>
      </w:r>
      <w:r>
        <w:rPr>
          <w:color w:val="000000"/>
          <w:spacing w:val="0"/>
          <w:w w:val="100"/>
          <w:position w:val="0"/>
          <w:sz w:val="24"/>
          <w:szCs w:val="24"/>
        </w:rPr>
        <w:t>the following structures (Annexed) as recommended by the 36th Ordinary Session of the Executive Council:</w:t>
      </w:r>
    </w:p>
    <w:p>
      <w:pPr>
        <w:pStyle w:val="Style2"/>
        <w:keepNext w:val="0"/>
        <w:keepLines w:val="0"/>
        <w:widowControl w:val="0"/>
        <w:numPr>
          <w:ilvl w:val="0"/>
          <w:numId w:val="3"/>
        </w:numPr>
        <w:shd w:val="clear" w:color="auto" w:fill="auto"/>
        <w:tabs>
          <w:tab w:pos="1424" w:val="left"/>
        </w:tabs>
        <w:bidi w:val="0"/>
        <w:spacing w:before="0" w:after="0" w:line="226" w:lineRule="auto"/>
        <w:ind w:left="0" w:right="0" w:firstLine="700"/>
        <w:jc w:val="left"/>
      </w:pPr>
      <w:bookmarkStart w:id="2" w:name="bookmark2"/>
      <w:bookmarkEnd w:id="2"/>
      <w:r>
        <w:rPr>
          <w:color w:val="000000"/>
          <w:spacing w:val="0"/>
          <w:w w:val="100"/>
          <w:position w:val="0"/>
          <w:sz w:val="24"/>
          <w:szCs w:val="24"/>
        </w:rPr>
        <w:t>African Union Commission Departmental Structure;</w:t>
      </w:r>
    </w:p>
    <w:p>
      <w:pPr>
        <w:pStyle w:val="Style2"/>
        <w:keepNext w:val="0"/>
        <w:keepLines w:val="0"/>
        <w:widowControl w:val="0"/>
        <w:numPr>
          <w:ilvl w:val="0"/>
          <w:numId w:val="3"/>
        </w:numPr>
        <w:shd w:val="clear" w:color="auto" w:fill="auto"/>
        <w:tabs>
          <w:tab w:pos="1424" w:val="left"/>
        </w:tabs>
        <w:bidi w:val="0"/>
        <w:spacing w:before="0" w:after="0" w:line="226" w:lineRule="auto"/>
        <w:ind w:left="1420" w:right="0" w:hanging="700"/>
        <w:jc w:val="both"/>
      </w:pPr>
      <w:bookmarkStart w:id="3" w:name="bookmark3"/>
      <w:bookmarkEnd w:id="3"/>
      <w:r>
        <w:rPr>
          <w:color w:val="000000"/>
          <w:spacing w:val="0"/>
          <w:w w:val="100"/>
          <w:position w:val="0"/>
          <w:sz w:val="24"/>
          <w:szCs w:val="24"/>
        </w:rPr>
        <w:t>Continental Operational Centre for Combatting Irregular Migration (Sudan);</w:t>
      </w:r>
    </w:p>
    <w:p>
      <w:pPr>
        <w:pStyle w:val="Style2"/>
        <w:keepNext w:val="0"/>
        <w:keepLines w:val="0"/>
        <w:widowControl w:val="0"/>
        <w:numPr>
          <w:ilvl w:val="0"/>
          <w:numId w:val="3"/>
        </w:numPr>
        <w:shd w:val="clear" w:color="auto" w:fill="auto"/>
        <w:tabs>
          <w:tab w:pos="1424" w:val="left"/>
        </w:tabs>
        <w:bidi w:val="0"/>
        <w:spacing w:before="0" w:after="0" w:line="226" w:lineRule="auto"/>
        <w:ind w:left="0" w:right="0" w:firstLine="700"/>
        <w:jc w:val="left"/>
      </w:pPr>
      <w:bookmarkStart w:id="4" w:name="bookmark4"/>
      <w:bookmarkEnd w:id="4"/>
      <w:r>
        <w:rPr>
          <w:color w:val="000000"/>
          <w:spacing w:val="0"/>
          <w:w w:val="100"/>
          <w:position w:val="0"/>
          <w:sz w:val="24"/>
          <w:szCs w:val="24"/>
        </w:rPr>
        <w:t>African Centre for the Study and Research on Migration - (Mali);</w:t>
      </w:r>
    </w:p>
    <w:p>
      <w:pPr>
        <w:pStyle w:val="Style2"/>
        <w:keepNext w:val="0"/>
        <w:keepLines w:val="0"/>
        <w:widowControl w:val="0"/>
        <w:numPr>
          <w:ilvl w:val="0"/>
          <w:numId w:val="3"/>
        </w:numPr>
        <w:shd w:val="clear" w:color="auto" w:fill="auto"/>
        <w:tabs>
          <w:tab w:pos="1424" w:val="left"/>
        </w:tabs>
        <w:bidi w:val="0"/>
        <w:spacing w:before="0" w:after="0" w:line="226" w:lineRule="auto"/>
        <w:ind w:left="0" w:right="0" w:firstLine="700"/>
        <w:jc w:val="left"/>
      </w:pPr>
      <w:bookmarkStart w:id="5" w:name="bookmark5"/>
      <w:bookmarkEnd w:id="5"/>
      <w:r>
        <w:rPr>
          <w:color w:val="000000"/>
          <w:spacing w:val="0"/>
          <w:w w:val="100"/>
          <w:position w:val="0"/>
          <w:sz w:val="24"/>
          <w:szCs w:val="24"/>
        </w:rPr>
        <w:t>African Migration Observatory (the Observatory) - (Morocco);</w:t>
      </w:r>
    </w:p>
    <w:p>
      <w:pPr>
        <w:pStyle w:val="Style2"/>
        <w:keepNext w:val="0"/>
        <w:keepLines w:val="0"/>
        <w:widowControl w:val="0"/>
        <w:numPr>
          <w:ilvl w:val="0"/>
          <w:numId w:val="3"/>
        </w:numPr>
        <w:shd w:val="clear" w:color="auto" w:fill="auto"/>
        <w:tabs>
          <w:tab w:pos="1424" w:val="left"/>
        </w:tabs>
        <w:bidi w:val="0"/>
        <w:spacing w:before="0" w:after="0" w:line="226" w:lineRule="auto"/>
        <w:ind w:left="0" w:right="0" w:firstLine="700"/>
        <w:jc w:val="left"/>
      </w:pPr>
      <w:bookmarkStart w:id="6" w:name="bookmark6"/>
      <w:bookmarkEnd w:id="6"/>
      <w:r>
        <w:rPr>
          <w:color w:val="000000"/>
          <w:spacing w:val="0"/>
          <w:w w:val="100"/>
          <w:position w:val="0"/>
          <w:sz w:val="24"/>
          <w:szCs w:val="24"/>
        </w:rPr>
        <w:t>African Union Mechanism For Police Cooperation (Afripol) - (Algeria);</w:t>
      </w:r>
    </w:p>
    <w:p>
      <w:pPr>
        <w:pStyle w:val="Style2"/>
        <w:keepNext w:val="0"/>
        <w:keepLines w:val="0"/>
        <w:widowControl w:val="0"/>
        <w:numPr>
          <w:ilvl w:val="0"/>
          <w:numId w:val="3"/>
        </w:numPr>
        <w:shd w:val="clear" w:color="auto" w:fill="auto"/>
        <w:tabs>
          <w:tab w:pos="1424" w:val="left"/>
        </w:tabs>
        <w:bidi w:val="0"/>
        <w:spacing w:before="0" w:after="0" w:line="226" w:lineRule="auto"/>
        <w:ind w:left="1420" w:right="0" w:hanging="700"/>
        <w:jc w:val="both"/>
      </w:pPr>
      <w:bookmarkStart w:id="7" w:name="bookmark7"/>
      <w:bookmarkEnd w:id="7"/>
      <w:r>
        <w:rPr>
          <w:color w:val="000000"/>
          <w:spacing w:val="0"/>
          <w:w w:val="100"/>
          <w:position w:val="0"/>
          <w:sz w:val="24"/>
          <w:szCs w:val="24"/>
        </w:rPr>
        <w:t>African Union Centre for Post-Conflict Reconstruction and Development (AUCPCRD) - (Egypt);</w:t>
      </w:r>
    </w:p>
    <w:p>
      <w:pPr>
        <w:pStyle w:val="Style2"/>
        <w:keepNext w:val="0"/>
        <w:keepLines w:val="0"/>
        <w:widowControl w:val="0"/>
        <w:numPr>
          <w:ilvl w:val="0"/>
          <w:numId w:val="3"/>
        </w:numPr>
        <w:shd w:val="clear" w:color="auto" w:fill="auto"/>
        <w:tabs>
          <w:tab w:pos="1424" w:val="left"/>
        </w:tabs>
        <w:bidi w:val="0"/>
        <w:spacing w:before="0" w:after="0" w:line="230" w:lineRule="auto"/>
        <w:ind w:left="1420" w:right="0" w:hanging="700"/>
        <w:jc w:val="both"/>
      </w:pPr>
      <w:bookmarkStart w:id="8" w:name="bookmark8"/>
      <w:bookmarkEnd w:id="8"/>
      <w:r>
        <w:rPr>
          <w:color w:val="000000"/>
          <w:spacing w:val="0"/>
          <w:w w:val="100"/>
          <w:position w:val="0"/>
          <w:sz w:val="24"/>
          <w:szCs w:val="24"/>
        </w:rPr>
        <w:t>Secretariat of African Committee of Experts on the Rights and Welfare of the Child (ACERWC) - (Lesotho); and</w:t>
      </w:r>
    </w:p>
    <w:p>
      <w:pPr>
        <w:pStyle w:val="Style2"/>
        <w:keepNext w:val="0"/>
        <w:keepLines w:val="0"/>
        <w:widowControl w:val="0"/>
        <w:numPr>
          <w:ilvl w:val="0"/>
          <w:numId w:val="3"/>
        </w:numPr>
        <w:shd w:val="clear" w:color="auto" w:fill="auto"/>
        <w:tabs>
          <w:tab w:pos="1424" w:val="left"/>
        </w:tabs>
        <w:bidi w:val="0"/>
        <w:spacing w:before="0" w:after="0" w:line="230" w:lineRule="auto"/>
        <w:ind w:left="1420" w:right="0" w:hanging="700"/>
        <w:jc w:val="both"/>
      </w:pPr>
      <w:bookmarkStart w:id="9" w:name="bookmark9"/>
      <w:bookmarkEnd w:id="9"/>
      <w:r>
        <w:rPr>
          <w:color w:val="000000"/>
          <w:spacing w:val="0"/>
          <w:w w:val="100"/>
          <w:position w:val="0"/>
          <w:sz w:val="24"/>
          <w:szCs w:val="24"/>
        </w:rPr>
        <w:t>African Observatory of Science, Technology and Innovation (AOSTI) - (Equatorial Guinea).</w:t>
      </w:r>
    </w:p>
    <w:sectPr>
      <w:footnotePr>
        <w:pos w:val="pageBottom"/>
        <w:numFmt w:val="decimal"/>
        <w:numRestart w:val="continuous"/>
      </w:footnotePr>
      <w:pgSz w:w="12240" w:h="16834"/>
      <w:pgMar w:top="1798" w:right="1404" w:bottom="2206"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