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1040" w:right="0" w:firstLine="20"/>
        <w:jc w:val="left"/>
      </w:pPr>
      <w:r>
        <w:rPr>
          <w:b/>
          <w:bCs/>
          <w:color w:val="000000"/>
          <w:spacing w:val="0"/>
          <w:w w:val="100"/>
          <w:position w:val="0"/>
          <w:sz w:val="24"/>
          <w:szCs w:val="24"/>
        </w:rPr>
        <w:t>DECISION ON CONSEQUENCE MANAGEMENT AND THE OVERSIGHT ROLE OF THE CHAIRPERSON OF THE AU COMMISSION WITHIN THE UNION ON THE FUNCTIONING OF THE AUC AND OTHER AU ORGANS</w:t>
      </w:r>
    </w:p>
    <w:p>
      <w:pPr>
        <w:pStyle w:val="Style5"/>
        <w:keepNext/>
        <w:keepLines/>
        <w:widowControl w:val="0"/>
        <w:shd w:val="clear" w:color="auto" w:fill="auto"/>
        <w:bidi w:val="0"/>
        <w:spacing w:before="0" w:after="36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9" w:val="left"/>
        </w:tabs>
        <w:bidi w:val="0"/>
        <w:spacing w:before="0" w:after="260" w:line="240" w:lineRule="auto"/>
        <w:ind w:left="720"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Chairperson on the implementation of the Executive Council Decision EX.CL./Dec.1057(XXXV) paragraph 40, adopted by the Thirty-Fifth (35th) Ordinary Session of the Executive Council held in Niamey, Niger in July 2019.</w:t>
      </w:r>
    </w:p>
    <w:p>
      <w:pPr>
        <w:pStyle w:val="Style2"/>
        <w:keepNext w:val="0"/>
        <w:keepLines w:val="0"/>
        <w:widowControl w:val="0"/>
        <w:numPr>
          <w:ilvl w:val="0"/>
          <w:numId w:val="1"/>
        </w:numPr>
        <w:shd w:val="clear" w:color="auto" w:fill="auto"/>
        <w:tabs>
          <w:tab w:pos="719" w:val="left"/>
        </w:tabs>
        <w:bidi w:val="0"/>
        <w:spacing w:before="0" w:after="260" w:line="240" w:lineRule="auto"/>
        <w:ind w:left="720" w:right="0" w:hanging="720"/>
        <w:jc w:val="both"/>
      </w:pPr>
      <w:bookmarkStart w:id="4" w:name="bookmark4"/>
      <w:bookmarkEnd w:id="4"/>
      <w:r>
        <w:rPr>
          <w:b/>
          <w:bCs/>
          <w:color w:val="000000"/>
          <w:spacing w:val="0"/>
          <w:w w:val="100"/>
          <w:position w:val="0"/>
          <w:sz w:val="24"/>
          <w:szCs w:val="24"/>
        </w:rPr>
        <w:t xml:space="preserve">ALSO TAKES NOTE </w:t>
      </w:r>
      <w:r>
        <w:rPr>
          <w:color w:val="000000"/>
          <w:spacing w:val="0"/>
          <w:w w:val="100"/>
          <w:position w:val="0"/>
          <w:sz w:val="24"/>
          <w:szCs w:val="24"/>
        </w:rPr>
        <w:t>of the sanctions including dismissal and separation taken against staff found guilty of irregularities and violations of AU Staff and Financial Regulations and Rules, after having followed due process;</w:t>
      </w:r>
    </w:p>
    <w:p>
      <w:pPr>
        <w:pStyle w:val="Style2"/>
        <w:keepNext w:val="0"/>
        <w:keepLines w:val="0"/>
        <w:widowControl w:val="0"/>
        <w:numPr>
          <w:ilvl w:val="0"/>
          <w:numId w:val="1"/>
        </w:numPr>
        <w:shd w:val="clear" w:color="auto" w:fill="auto"/>
        <w:tabs>
          <w:tab w:pos="719" w:val="left"/>
        </w:tabs>
        <w:bidi w:val="0"/>
        <w:spacing w:before="0" w:after="260" w:line="240" w:lineRule="auto"/>
        <w:ind w:left="720" w:right="0" w:hanging="720"/>
        <w:jc w:val="both"/>
      </w:pPr>
      <w:bookmarkStart w:id="5" w:name="bookmark5"/>
      <w:bookmarkEnd w:id="5"/>
      <w:r>
        <w:rPr>
          <w:b/>
          <w:bCs/>
          <w:color w:val="000000"/>
          <w:spacing w:val="0"/>
          <w:w w:val="100"/>
          <w:position w:val="0"/>
          <w:sz w:val="24"/>
          <w:szCs w:val="24"/>
        </w:rPr>
        <w:t xml:space="preserve">DIRECTS </w:t>
      </w:r>
      <w:r>
        <w:rPr>
          <w:color w:val="000000"/>
          <w:spacing w:val="0"/>
          <w:w w:val="100"/>
          <w:position w:val="0"/>
          <w:sz w:val="24"/>
          <w:szCs w:val="24"/>
        </w:rPr>
        <w:t>the AUC Chairperson to continue to take effective actions to address all acts of misconduct in the African Union, and to use his financial and administrative statutory oversight authority over all non-Policy Organs and Institutions of the Union, including the Pan-African Parliament, the African Court of Human and Peoples’ Rights, the African Commission on Human and Peoples Rights, and their elected officials;</w:t>
      </w:r>
    </w:p>
    <w:p>
      <w:pPr>
        <w:pStyle w:val="Style2"/>
        <w:keepNext w:val="0"/>
        <w:keepLines w:val="0"/>
        <w:widowControl w:val="0"/>
        <w:numPr>
          <w:ilvl w:val="0"/>
          <w:numId w:val="1"/>
        </w:numPr>
        <w:shd w:val="clear" w:color="auto" w:fill="auto"/>
        <w:tabs>
          <w:tab w:pos="719" w:val="left"/>
        </w:tabs>
        <w:bidi w:val="0"/>
        <w:spacing w:before="0" w:after="260" w:line="240" w:lineRule="auto"/>
        <w:ind w:left="720" w:right="0" w:hanging="720"/>
        <w:jc w:val="both"/>
      </w:pPr>
      <w:bookmarkStart w:id="6" w:name="bookmark6"/>
      <w:bookmarkEnd w:id="6"/>
      <w:r>
        <w:rPr>
          <w:b/>
          <w:bCs/>
          <w:color w:val="000000"/>
          <w:spacing w:val="0"/>
          <w:w w:val="100"/>
          <w:position w:val="0"/>
          <w:sz w:val="24"/>
          <w:szCs w:val="24"/>
        </w:rPr>
        <w:t xml:space="preserve">ALSO DIRECTS </w:t>
      </w:r>
      <w:r>
        <w:rPr>
          <w:color w:val="000000"/>
          <w:spacing w:val="0"/>
          <w:w w:val="100"/>
          <w:position w:val="0"/>
          <w:sz w:val="24"/>
          <w:szCs w:val="24"/>
        </w:rPr>
        <w:t>the Office of the Legal Counsel to examine the Legal Instruments and Rules of Procedure of AU Organs and identify areas of incoherence or conflict with other AU Legal Instruments, and advise AU Policy Organs on the amendments and alignment, as appropriate, and report to the 37th Ordinary Session of the Executive Council in July 2020;</w:t>
      </w:r>
    </w:p>
    <w:p>
      <w:pPr>
        <w:pStyle w:val="Style2"/>
        <w:keepNext w:val="0"/>
        <w:keepLines w:val="0"/>
        <w:widowControl w:val="0"/>
        <w:numPr>
          <w:ilvl w:val="0"/>
          <w:numId w:val="1"/>
        </w:numPr>
        <w:shd w:val="clear" w:color="auto" w:fill="auto"/>
        <w:tabs>
          <w:tab w:pos="719" w:val="left"/>
        </w:tabs>
        <w:bidi w:val="0"/>
        <w:spacing w:before="0" w:after="360" w:line="240" w:lineRule="auto"/>
        <w:ind w:left="0" w:right="0" w:firstLine="0"/>
        <w:jc w:val="left"/>
      </w:pPr>
      <w:bookmarkStart w:id="7" w:name="bookmark7"/>
      <w:bookmarkEnd w:id="7"/>
      <w:r>
        <w:rPr>
          <w:b/>
          <w:bCs/>
          <w:color w:val="000000"/>
          <w:spacing w:val="0"/>
          <w:w w:val="100"/>
          <w:position w:val="0"/>
          <w:sz w:val="24"/>
          <w:szCs w:val="24"/>
        </w:rPr>
        <w:t xml:space="preserve">REQUESTS </w:t>
      </w:r>
      <w:r>
        <w:rPr>
          <w:color w:val="000000"/>
          <w:spacing w:val="0"/>
          <w:w w:val="100"/>
          <w:position w:val="0"/>
          <w:sz w:val="24"/>
          <w:szCs w:val="24"/>
        </w:rPr>
        <w:t>the Commission to:</w:t>
      </w:r>
    </w:p>
    <w:p>
      <w:pPr>
        <w:pStyle w:val="Style2"/>
        <w:keepNext w:val="0"/>
        <w:keepLines w:val="0"/>
        <w:widowControl w:val="0"/>
        <w:numPr>
          <w:ilvl w:val="0"/>
          <w:numId w:val="3"/>
        </w:numPr>
        <w:shd w:val="clear" w:color="auto" w:fill="auto"/>
        <w:tabs>
          <w:tab w:pos="1438" w:val="left"/>
        </w:tabs>
        <w:bidi w:val="0"/>
        <w:spacing w:before="0" w:after="0" w:line="240" w:lineRule="auto"/>
        <w:ind w:left="1440" w:right="0" w:hanging="720"/>
        <w:jc w:val="both"/>
      </w:pPr>
      <w:bookmarkStart w:id="8" w:name="bookmark8"/>
      <w:bookmarkEnd w:id="8"/>
      <w:r>
        <w:rPr>
          <w:color w:val="000000"/>
          <w:spacing w:val="0"/>
          <w:w w:val="100"/>
          <w:position w:val="0"/>
          <w:sz w:val="24"/>
          <w:szCs w:val="24"/>
        </w:rPr>
        <w:t>Present a Report on the operationalisation of the Court of Justice of the Union which is mandated to consider appeals from the AU Administrative Tribunal by July 2020;</w:t>
      </w:r>
    </w:p>
    <w:p>
      <w:pPr>
        <w:pStyle w:val="Style2"/>
        <w:keepNext w:val="0"/>
        <w:keepLines w:val="0"/>
        <w:widowControl w:val="0"/>
        <w:numPr>
          <w:ilvl w:val="0"/>
          <w:numId w:val="3"/>
        </w:numPr>
        <w:shd w:val="clear" w:color="auto" w:fill="auto"/>
        <w:tabs>
          <w:tab w:pos="1438" w:val="left"/>
        </w:tabs>
        <w:bidi w:val="0"/>
        <w:spacing w:before="0" w:after="260" w:line="240" w:lineRule="auto"/>
        <w:ind w:left="1440" w:right="0" w:hanging="720"/>
        <w:jc w:val="both"/>
      </w:pPr>
      <w:bookmarkStart w:id="9" w:name="bookmark9"/>
      <w:bookmarkEnd w:id="9"/>
      <w:r>
        <w:rPr>
          <w:color w:val="000000"/>
          <w:spacing w:val="0"/>
          <w:w w:val="100"/>
          <w:position w:val="0"/>
          <w:sz w:val="24"/>
          <w:szCs w:val="24"/>
        </w:rPr>
        <w:t>Submit a report on the implementation of this decision to the Executive Council by July 2020.</w:t>
      </w:r>
    </w:p>
    <w:sectPr>
      <w:footnotePr>
        <w:pos w:val="pageBottom"/>
        <w:numFmt w:val="decimal"/>
        <w:numRestart w:val="continuous"/>
      </w:footnotePr>
      <w:pgSz w:w="12240" w:h="16834"/>
      <w:pgMar w:top="2162" w:right="1396" w:bottom="1991" w:left="14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