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REALIGNMENT OF THE LEGAL INSTRUMENTS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260" w:line="233" w:lineRule="auto"/>
        <w:ind w:left="700" w:right="0" w:hanging="70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 Ext/Assembly/AU/Dec.1(XI) requesting the Commission to align all relevant legal instruments, in line with the Institutional Reform;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260" w:line="240" w:lineRule="auto"/>
        <w:ind w:left="700" w:right="0" w:hanging="70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Executive Council on the alignment of the Rules of Procedures of the Assembly, Executive Council, Permanent Representatives’ Committee and the Statute of the Commission;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00" w:right="0" w:hanging="700"/>
        <w:jc w:val="both"/>
      </w:pPr>
      <w:bookmarkStart w:id="5" w:name="bookmark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3</w:t>
      </w:r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- DELEGATES </w:t>
      </w:r>
      <w:r>
        <w:rPr>
          <w:color w:val="000000"/>
          <w:spacing w:val="0"/>
          <w:w w:val="100"/>
          <w:position w:val="0"/>
          <w:sz w:val="24"/>
          <w:szCs w:val="24"/>
        </w:rPr>
        <w:t>to the Executive Council, its authority to consider and adopt provisionally the Rules of Procedures of the Assembly and the Statute of the Commission during its 37th Ordinary Session in June/July 2020;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7" w:val="left"/>
        </w:tabs>
        <w:bidi w:val="0"/>
        <w:spacing w:before="0" w:after="260" w:line="240" w:lineRule="auto"/>
        <w:ind w:left="700" w:right="0" w:hanging="70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NOTES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this is a transitional period from the old electoral system of the Members of the Commission to the new modalities adopted as per Decision Ext/Assembly/AU/Dec. 1;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7" w:val="left"/>
        </w:tabs>
        <w:bidi w:val="0"/>
        <w:spacing w:before="0" w:after="260" w:line="240" w:lineRule="auto"/>
        <w:ind w:left="700" w:right="0" w:hanging="70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provide flexibility within the timeline prescribed by Decision Ext/Assembly/AU/Dec. 1 (XI), for the electoral process leading to the upcoming elections of the Members of the Commission in February 2021, and that this flexibility should not exceed a total of 75 days;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7" w:val="left"/>
        </w:tabs>
        <w:bidi w:val="0"/>
        <w:spacing w:before="0" w:after="260" w:line="240" w:lineRule="auto"/>
        <w:ind w:left="700" w:right="0" w:hanging="70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undertake all necessary steps in meeting future deadlines as prescribed under Decision Ext/Assembly/AU/Dec. 1 (XI).</w:t>
      </w:r>
    </w:p>
    <w:sectPr>
      <w:footnotePr>
        <w:pos w:val="pageBottom"/>
        <w:numFmt w:val="decimal"/>
        <w:numRestart w:val="continuous"/>
      </w:footnotePr>
      <w:pgSz w:w="12240" w:h="16834"/>
      <w:pgMar w:top="1995" w:right="1399" w:bottom="1995" w:left="14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4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