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40" w:line="259" w:lineRule="auto"/>
        <w:ind w:left="0" w:right="0" w:firstLine="0"/>
        <w:jc w:val="center"/>
      </w:pPr>
      <w:r>
        <w:rPr>
          <w:b/>
          <w:bCs/>
          <w:color w:val="000000"/>
          <w:spacing w:val="0"/>
          <w:w w:val="100"/>
          <w:position w:val="0"/>
          <w:sz w:val="24"/>
          <w:szCs w:val="24"/>
        </w:rPr>
        <w:t>DECISION ON THE SCALE OF ASSESSMENT AND CONTRIBUTIONS</w:t>
      </w:r>
    </w:p>
    <w:p>
      <w:pPr>
        <w:pStyle w:val="Style5"/>
        <w:keepNext/>
        <w:keepLines/>
        <w:widowControl w:val="0"/>
        <w:shd w:val="clear" w:color="auto" w:fill="auto"/>
        <w:bidi w:val="0"/>
        <w:spacing w:before="0" w:line="259"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2" w:val="left"/>
        </w:tabs>
        <w:bidi w:val="0"/>
        <w:spacing w:before="0" w:line="259" w:lineRule="auto"/>
        <w:ind w:left="0" w:right="0" w:firstLine="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Executive Council Decision;</w:t>
      </w:r>
    </w:p>
    <w:p>
      <w:pPr>
        <w:pStyle w:val="Style2"/>
        <w:keepNext w:val="0"/>
        <w:keepLines w:val="0"/>
        <w:widowControl w:val="0"/>
        <w:numPr>
          <w:ilvl w:val="0"/>
          <w:numId w:val="1"/>
        </w:numPr>
        <w:shd w:val="clear" w:color="auto" w:fill="auto"/>
        <w:tabs>
          <w:tab w:pos="722" w:val="left"/>
        </w:tabs>
        <w:bidi w:val="0"/>
        <w:spacing w:before="0" w:line="266" w:lineRule="auto"/>
        <w:ind w:left="700" w:right="0" w:hanging="700"/>
        <w:jc w:val="both"/>
      </w:pPr>
      <w:bookmarkStart w:id="4" w:name="bookmark4"/>
      <w:bookmarkEnd w:id="4"/>
      <w:r>
        <w:rPr>
          <w:b/>
          <w:bCs/>
          <w:color w:val="000000"/>
          <w:spacing w:val="0"/>
          <w:w w:val="100"/>
          <w:position w:val="0"/>
          <w:sz w:val="24"/>
          <w:szCs w:val="24"/>
        </w:rPr>
        <w:t xml:space="preserve">COMMENDS </w:t>
      </w:r>
      <w:r>
        <w:rPr>
          <w:color w:val="000000"/>
          <w:spacing w:val="0"/>
          <w:w w:val="100"/>
          <w:position w:val="0"/>
          <w:sz w:val="24"/>
          <w:szCs w:val="24"/>
        </w:rPr>
        <w:t>Member States for contributing 90% of the funds assessed to them (US$222,967,420) in 2020 towards the Union regular budget;</w:t>
      </w:r>
    </w:p>
    <w:p>
      <w:pPr>
        <w:pStyle w:val="Style2"/>
        <w:keepNext w:val="0"/>
        <w:keepLines w:val="0"/>
        <w:widowControl w:val="0"/>
        <w:numPr>
          <w:ilvl w:val="0"/>
          <w:numId w:val="1"/>
        </w:numPr>
        <w:shd w:val="clear" w:color="auto" w:fill="auto"/>
        <w:tabs>
          <w:tab w:pos="722" w:val="left"/>
        </w:tabs>
        <w:bidi w:val="0"/>
        <w:spacing w:before="0" w:line="257" w:lineRule="auto"/>
        <w:ind w:left="700" w:right="0" w:hanging="700"/>
        <w:jc w:val="both"/>
      </w:pPr>
      <w:bookmarkStart w:id="5" w:name="bookmark5"/>
      <w:bookmarkEnd w:id="5"/>
      <w:r>
        <w:rPr>
          <w:b/>
          <w:bCs/>
          <w:color w:val="000000"/>
          <w:spacing w:val="0"/>
          <w:w w:val="100"/>
          <w:position w:val="0"/>
          <w:sz w:val="24"/>
          <w:szCs w:val="24"/>
        </w:rPr>
        <w:t xml:space="preserve">ALSO COMMENDS </w:t>
      </w:r>
      <w:r>
        <w:rPr>
          <w:color w:val="000000"/>
          <w:spacing w:val="0"/>
          <w:w w:val="100"/>
          <w:position w:val="0"/>
          <w:sz w:val="24"/>
          <w:szCs w:val="24"/>
        </w:rPr>
        <w:t>55 Member States for contributing US$204,876,199 to the AU Peace Fund since 2017 which demonstrates the high level of commitment by the Union to fully operationalise the Fund;</w:t>
      </w:r>
    </w:p>
    <w:p>
      <w:pPr>
        <w:pStyle w:val="Style2"/>
        <w:keepNext w:val="0"/>
        <w:keepLines w:val="0"/>
        <w:widowControl w:val="0"/>
        <w:numPr>
          <w:ilvl w:val="0"/>
          <w:numId w:val="1"/>
        </w:numPr>
        <w:shd w:val="clear" w:color="auto" w:fill="auto"/>
        <w:tabs>
          <w:tab w:pos="722" w:val="left"/>
        </w:tabs>
        <w:bidi w:val="0"/>
        <w:spacing w:before="0" w:line="259" w:lineRule="auto"/>
        <w:ind w:left="700" w:right="0" w:hanging="700"/>
        <w:jc w:val="both"/>
      </w:pPr>
      <w:bookmarkStart w:id="6" w:name="bookmark6"/>
      <w:bookmarkEnd w:id="6"/>
      <w:r>
        <w:rPr>
          <w:b/>
          <w:bCs/>
          <w:color w:val="000000"/>
          <w:spacing w:val="0"/>
          <w:w w:val="100"/>
          <w:position w:val="0"/>
          <w:sz w:val="24"/>
          <w:szCs w:val="24"/>
        </w:rPr>
        <w:t xml:space="preserve">FURTHER COMMENDS </w:t>
      </w:r>
      <w:r>
        <w:rPr>
          <w:color w:val="000000"/>
          <w:spacing w:val="0"/>
          <w:w w:val="100"/>
          <w:position w:val="0"/>
          <w:sz w:val="24"/>
          <w:szCs w:val="24"/>
        </w:rPr>
        <w:t xml:space="preserve">Member States that are up-to-date in the payment of their contributions, including those that have made advance payments towards the 2021/2022 budget, and </w:t>
      </w:r>
      <w:r>
        <w:rPr>
          <w:b/>
          <w:bCs/>
          <w:color w:val="000000"/>
          <w:spacing w:val="0"/>
          <w:w w:val="100"/>
          <w:position w:val="0"/>
          <w:sz w:val="24"/>
          <w:szCs w:val="24"/>
        </w:rPr>
        <w:t xml:space="preserve">URGES </w:t>
      </w:r>
      <w:r>
        <w:rPr>
          <w:color w:val="000000"/>
          <w:spacing w:val="0"/>
          <w:w w:val="100"/>
          <w:position w:val="0"/>
          <w:sz w:val="24"/>
          <w:szCs w:val="24"/>
        </w:rPr>
        <w:t>Member States that have not yet done so to pay their assessed contributions in fulfilment of their financial obligations to the Union;</w:t>
      </w:r>
    </w:p>
    <w:p>
      <w:pPr>
        <w:pStyle w:val="Style2"/>
        <w:keepNext w:val="0"/>
        <w:keepLines w:val="0"/>
        <w:widowControl w:val="0"/>
        <w:numPr>
          <w:ilvl w:val="0"/>
          <w:numId w:val="1"/>
        </w:numPr>
        <w:shd w:val="clear" w:color="auto" w:fill="auto"/>
        <w:tabs>
          <w:tab w:pos="722" w:val="left"/>
        </w:tabs>
        <w:bidi w:val="0"/>
        <w:spacing w:before="0" w:line="259" w:lineRule="auto"/>
        <w:ind w:left="700" w:right="0" w:hanging="700"/>
        <w:jc w:val="both"/>
      </w:pPr>
      <w:bookmarkStart w:id="7" w:name="bookmark7"/>
      <w:bookmarkEnd w:id="7"/>
      <w:r>
        <w:rPr>
          <w:b/>
          <w:bCs/>
          <w:color w:val="000000"/>
          <w:spacing w:val="0"/>
          <w:w w:val="100"/>
          <w:position w:val="0"/>
          <w:sz w:val="24"/>
          <w:szCs w:val="24"/>
        </w:rPr>
        <w:t xml:space="preserve">COMMENDS </w:t>
      </w:r>
      <w:r>
        <w:rPr>
          <w:color w:val="000000"/>
          <w:spacing w:val="0"/>
          <w:w w:val="100"/>
          <w:position w:val="0"/>
          <w:sz w:val="24"/>
          <w:szCs w:val="24"/>
        </w:rPr>
        <w:t xml:space="preserve">the Republic of Somalia, Republic of Seychelles and Republic of Burundi for agreeing with the Commission in fulfilment of their Payment Plans to clear the arrears as soon as possible, within four (4) years from the adoption of the Decision EX.CL/Dec. 1071 (XXXV) and </w:t>
      </w:r>
      <w:r>
        <w:rPr>
          <w:b/>
          <w:bCs/>
          <w:color w:val="000000"/>
          <w:spacing w:val="0"/>
          <w:w w:val="100"/>
          <w:position w:val="0"/>
          <w:sz w:val="24"/>
          <w:szCs w:val="24"/>
        </w:rPr>
        <w:t xml:space="preserve">ENDORSES </w:t>
      </w:r>
      <w:r>
        <w:rPr>
          <w:color w:val="000000"/>
          <w:spacing w:val="0"/>
          <w:w w:val="100"/>
          <w:position w:val="0"/>
          <w:sz w:val="24"/>
          <w:szCs w:val="24"/>
        </w:rPr>
        <w:t>the said Payment Plans;</w:t>
      </w:r>
    </w:p>
    <w:p>
      <w:pPr>
        <w:pStyle w:val="Style2"/>
        <w:keepNext w:val="0"/>
        <w:keepLines w:val="0"/>
        <w:widowControl w:val="0"/>
        <w:numPr>
          <w:ilvl w:val="0"/>
          <w:numId w:val="1"/>
        </w:numPr>
        <w:shd w:val="clear" w:color="auto" w:fill="auto"/>
        <w:tabs>
          <w:tab w:pos="722" w:val="left"/>
        </w:tabs>
        <w:bidi w:val="0"/>
        <w:spacing w:before="0" w:line="257" w:lineRule="auto"/>
        <w:ind w:left="700" w:right="0" w:hanging="700"/>
        <w:jc w:val="both"/>
      </w:pPr>
      <w:bookmarkStart w:id="8" w:name="bookmark8"/>
      <w:bookmarkEnd w:id="8"/>
      <w:r>
        <w:rPr>
          <w:b/>
          <w:bCs/>
          <w:color w:val="000000"/>
          <w:spacing w:val="0"/>
          <w:w w:val="100"/>
          <w:position w:val="0"/>
          <w:sz w:val="24"/>
          <w:szCs w:val="24"/>
        </w:rPr>
        <w:t xml:space="preserve">DECIDES </w:t>
      </w:r>
      <w:r>
        <w:rPr>
          <w:color w:val="000000"/>
          <w:spacing w:val="0"/>
          <w:w w:val="100"/>
          <w:position w:val="0"/>
          <w:sz w:val="24"/>
          <w:szCs w:val="24"/>
        </w:rPr>
        <w:t>to further delegate with immediate effect its powers to apply the AU Sanction Regime, pursuant to the provisions of Article 23 (1) of the Constitutive Act and Rule 36 of the Rules of Procedure of the Assembly, to the Executive Council;</w:t>
      </w:r>
    </w:p>
    <w:p>
      <w:pPr>
        <w:pStyle w:val="Style2"/>
        <w:keepNext w:val="0"/>
        <w:keepLines w:val="0"/>
        <w:widowControl w:val="0"/>
        <w:numPr>
          <w:ilvl w:val="0"/>
          <w:numId w:val="1"/>
        </w:numPr>
        <w:shd w:val="clear" w:color="auto" w:fill="auto"/>
        <w:tabs>
          <w:tab w:pos="722" w:val="left"/>
        </w:tabs>
        <w:bidi w:val="0"/>
        <w:spacing w:before="0" w:line="257" w:lineRule="auto"/>
        <w:ind w:left="700" w:right="0" w:hanging="700"/>
        <w:jc w:val="both"/>
      </w:pPr>
      <w:bookmarkStart w:id="9" w:name="bookmark9"/>
      <w:bookmarkEnd w:id="9"/>
      <w:r>
        <w:rPr>
          <w:b/>
          <w:bCs/>
          <w:color w:val="000000"/>
          <w:spacing w:val="0"/>
          <w:w w:val="100"/>
          <w:position w:val="0"/>
          <w:sz w:val="24"/>
          <w:szCs w:val="24"/>
        </w:rPr>
        <w:t xml:space="preserve">FURTHER DECIDES </w:t>
      </w:r>
      <w:r>
        <w:rPr>
          <w:color w:val="000000"/>
          <w:spacing w:val="0"/>
          <w:w w:val="100"/>
          <w:position w:val="0"/>
          <w:sz w:val="24"/>
          <w:szCs w:val="24"/>
        </w:rPr>
        <w:t>to grant authority to the Chairperson of the Commission to provisionally lift sanctions imposed on a Member State, and report to the PRC to take a decision in conformity with Rule 36 (3) of the revised Rules of Procedure of the Assembly.</w:t>
      </w:r>
    </w:p>
    <w:sectPr>
      <w:footnotePr>
        <w:pos w:val="pageBottom"/>
        <w:numFmt w:val="decimal"/>
        <w:numRestart w:val="continuous"/>
      </w:footnotePr>
      <w:pgSz w:w="12240" w:h="16834"/>
      <w:pgMar w:top="1912" w:right="1402" w:bottom="5101" w:left="14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