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DATE AND VENUE OF THE 36TH ORDINARY SESSION OF THE</w:t>
        <w:br/>
        <w:t>ASSEMBLY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80" w:line="23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240" w:line="233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of the 36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Assembly, which will be held in Addis Ababa, Ethiopia,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6" w:val="left"/>
        </w:tabs>
        <w:bidi w:val="0"/>
        <w:spacing w:before="0" w:after="240" w:line="230" w:lineRule="auto"/>
        <w:ind w:left="1280" w:right="0" w:hanging="56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Forty Fifth (45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>) Ordinary Session of the Permanent Representatives’ Committee (PRC), from 16 to 27 January 2023;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6" w:val="left"/>
        </w:tabs>
        <w:bidi w:val="0"/>
        <w:spacing w:before="0" w:after="300" w:line="214" w:lineRule="auto"/>
        <w:ind w:left="1280" w:right="0" w:hanging="56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Forty second (42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nd</w:t>
      </w:r>
      <w:r>
        <w:rPr>
          <w:color w:val="000000"/>
          <w:spacing w:val="0"/>
          <w:w w:val="100"/>
          <w:position w:val="0"/>
          <w:sz w:val="24"/>
          <w:szCs w:val="24"/>
        </w:rPr>
        <w:t>) Ordinary Session of the Executive Council, 15 to 16 February 2023;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6" w:val="left"/>
        </w:tabs>
        <w:bidi w:val="0"/>
        <w:spacing w:before="0" w:after="300" w:line="218" w:lineRule="auto"/>
        <w:ind w:left="1280" w:right="0" w:hanging="56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Thirty-Sixth (36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>) Ordinary Session of the Assembly, 18 and 19 February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30" w:lineRule="auto"/>
        <w:ind w:left="720" w:right="0" w:hanging="72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make all the necessary arrangements for the successful hosting of the Thirty-Sixth (36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>) Ordinary Session of the Assembly and the preparatory meetings of the Executive Council and the PRC according to the aforementioned dates.</w:t>
      </w:r>
    </w:p>
    <w:sectPr>
      <w:footnotePr>
        <w:pos w:val="pageBottom"/>
        <w:numFmt w:val="decimal"/>
        <w:numRestart w:val="continuous"/>
      </w:footnotePr>
      <w:pgSz w:w="12240" w:h="16834"/>
      <w:pgMar w:top="2241" w:right="1392" w:bottom="2241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