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06" w:rsidRPr="00724D06" w:rsidRDefault="00724D06" w:rsidP="00724D0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24D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724D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724D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724D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24D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24D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724D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Comunicações</w:t>
      </w:r>
      <w:proofErr w:type="spellEnd"/>
      <w:r w:rsidRPr="00724D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- 75OS</w:t>
      </w:r>
    </w:p>
    <w:p w:rsidR="00724D06" w:rsidRPr="00724D06" w:rsidRDefault="00724D06" w:rsidP="00724D0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24D0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24D06">
        <w:rPr>
          <w:rFonts w:eastAsia="Times New Roman" w:cstheme="minorHAnsi"/>
          <w:color w:val="231F20"/>
          <w:sz w:val="23"/>
          <w:szCs w:val="23"/>
          <w:lang w:eastAsia="en-ZA"/>
        </w:rPr>
        <w:t>Maio</w:t>
      </w:r>
      <w:proofErr w:type="spellEnd"/>
      <w:r w:rsidRPr="00724D0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20, 2023</w:t>
      </w:r>
    </w:p>
    <w:p w:rsidR="00A60BA1" w:rsidRPr="00724D06" w:rsidRDefault="00A60BA1" w:rsidP="00724D06">
      <w:pPr>
        <w:rPr>
          <w:rFonts w:cstheme="minorHAnsi"/>
        </w:rPr>
      </w:pP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Introdução</w:t>
      </w:r>
      <w:proofErr w:type="spellEnd"/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("WGC,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sigla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inglês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")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estabelecido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ACHPR/Res.194 (L) 11,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23 (1) e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97 (2)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Homem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) de 2010.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2.Na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11ª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Banjul,  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proofErr w:type="gram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de 21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1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2012,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adoptou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ACHPR/Res.212 (EXT.OS/XI)12 que define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.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várias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tarefas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amplamente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delineadas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anteriores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3.O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preesente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apresentado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25 (3) e 64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2020, tem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seguinte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estrutura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: A.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; B.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examinadas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abrangido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; C.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pendentes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; D.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Desafios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perspectivas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A.Actividades</w:t>
      </w:r>
      <w:proofErr w:type="spellEnd"/>
      <w:proofErr w:type="gram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Reuniões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4.O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reuniu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23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2023 e a 1 de </w:t>
      </w:r>
      <w:proofErr w:type="spellStart"/>
      <w:proofErr w:type="gram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 de</w:t>
      </w:r>
      <w:proofErr w:type="gram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2023. Durante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reuniões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analisou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i.os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projectos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aceitação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apresentadas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elegíveis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transferência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o Tribunal;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iii.a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proposta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regime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transitório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judiciária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iv.a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proposta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critérios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agendamento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v.o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preliminar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progresso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cartório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físico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egípcias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vi.o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auditoria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vii.o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aceites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administrativamente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115.º(5)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interior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2020; 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viii.a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questão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proferidas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revelia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: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possibilidade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oposição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parte da parte revel.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5.O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destas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duas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reuniões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aprovado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plenária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74ª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6.A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segunda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que se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antes da 75.ª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adiada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lugar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margem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mesma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B.Comunicações</w:t>
      </w:r>
      <w:proofErr w:type="spellEnd"/>
      <w:proofErr w:type="gram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analisadas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abrangido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7.O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recorda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74.ª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havia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duzentos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quatro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(204)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. Durante a 74ª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examinou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pronunciou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duas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(22)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saber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sym w:font="Symbol" w:char="F0B7"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Quatro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(4)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mérito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concluídas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sym w:font="Symbol" w:char="F0B7"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Cinco (5)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declaradas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admissíveis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lastRenderedPageBreak/>
        <w:sym w:font="Symbol" w:char="F0B7"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Cinco (5)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declaradas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inadmissíveis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sym w:font="Symbol" w:char="F0B7"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Oito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(8)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retiradas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lista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8.O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regista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que, no final da 74.ª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estavam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pendentes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cento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oitenta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(187)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. Entre o final da 74ª e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início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75ª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cinco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(6)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novas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examinadas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administrativamente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aceitação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provisórias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. Cinco (5)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novas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admitidas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(1)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rejeitada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9.O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recebeu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um (1)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Revião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está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e um (1)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parecer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submetido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indivíduo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.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rejeitado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plano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visto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45.º(3) da Carta,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só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solicitar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parecer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um Estado Parte,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Unidade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reconhecida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Unidade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Africana.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C.Communicações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pendentes</w:t>
      </w:r>
      <w:proofErr w:type="spellEnd"/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10.O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observa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somando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cinco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(5)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aceites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74ª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cento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oitenta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(187)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pendentes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final da 74ª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pendentes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deveria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cento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noventa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duas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(192).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entanto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centralização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inerente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auditoria à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Matriz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verificou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-se que,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realidade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pendentes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é de cento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noventa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(197),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saber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sym w:font="Symbol" w:char="F0B7"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Quarenta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(43)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fase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mérito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sym w:font="Symbol" w:char="F0B7"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Cento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cinquenta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um (150)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fase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admissibilidade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sym w:font="Symbol" w:char="F0B7"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Um (1)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revisão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sym w:font="Symbol" w:char="F0B7"/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fase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preparação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aceitação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11.No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diz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apresentadas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alterou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Intersessão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anterioer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estando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pendente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nenhuma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D.Desafios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perspectivas</w:t>
      </w:r>
      <w:proofErr w:type="spellEnd"/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a)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Desafios</w:t>
      </w:r>
      <w:proofErr w:type="spellEnd"/>
      <w:proofErr w:type="gramEnd"/>
      <w:r w:rsidRPr="00724D0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12.Com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recrutamento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um (1)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jurista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2022 e dos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tradutores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intérpretes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língua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portuguesa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francesa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Abril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deste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registou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melhoria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significativa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disponíveis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o que se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espera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tenha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positivo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13.No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acredita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com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recrutamento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jurista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tradutor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intérprete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será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acelerar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língua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conhecido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alguma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lentidão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processamento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tradutor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permanente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de um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jurista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se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ocupar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submetidas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14.Não obstante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melhorias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verificadas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desafios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limitaçao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fundos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atribuídos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tradução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alegações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de/para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cuja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maioria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inglês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traduzidas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persistir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médio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causa do volume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acumulados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traduzir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Persiste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incumprimento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prazos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estipulados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fraca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taxa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lastRenderedPageBreak/>
        <w:t>b)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15.O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i.insta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executarem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informarem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serem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implementarem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proofErr w:type="gram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lhes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dizem</w:t>
      </w:r>
      <w:proofErr w:type="spellEnd"/>
      <w:proofErr w:type="gram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180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previsto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n.º 2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112.º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2010 e do n.º 1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125.º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2020;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ii.reitera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apliquem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competentes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diz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prazos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observações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fases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procedimento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iii.encoraja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utilizarem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Formulários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Padronizados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Queixas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disponíveis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sítios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internet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: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hyperlink r:id="rId4" w:tgtFrame="_blank" w:history="1">
        <w:r w:rsidRPr="00724D06">
          <w:rPr>
            <w:rStyle w:val="Hyperlink"/>
            <w:rFonts w:asciiTheme="minorHAnsi" w:hAnsiTheme="minorHAnsi" w:cstheme="minorHAnsi"/>
            <w:color w:val="0D5919"/>
            <w:sz w:val="23"/>
            <w:szCs w:val="23"/>
          </w:rPr>
          <w:t>https://t.co/K6uvGhu2ZZ?amp=1</w:t>
        </w:r>
      </w:hyperlink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 –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Inglês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hyperlink r:id="rId5" w:tgtFrame="_blank" w:history="1">
        <w:r w:rsidRPr="00724D06">
          <w:rPr>
            <w:rStyle w:val="Hyperlink"/>
            <w:rFonts w:asciiTheme="minorHAnsi" w:hAnsiTheme="minorHAnsi" w:cstheme="minorHAnsi"/>
            <w:color w:val="0D5919"/>
            <w:sz w:val="23"/>
            <w:szCs w:val="23"/>
          </w:rPr>
          <w:t>https://t.co/w54RAKzmTW?amp=1</w:t>
        </w:r>
      </w:hyperlink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 –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Francês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hyperlink r:id="rId6" w:tgtFrame="_blank" w:history="1">
        <w:r w:rsidRPr="00724D06">
          <w:rPr>
            <w:rStyle w:val="Hyperlink"/>
            <w:rFonts w:asciiTheme="minorHAnsi" w:hAnsiTheme="minorHAnsi" w:cstheme="minorHAnsi"/>
            <w:color w:val="0D5919"/>
            <w:sz w:val="23"/>
            <w:szCs w:val="23"/>
          </w:rPr>
          <w:t>https://t.co/Gt7lkcdg0f?amp=1</w:t>
        </w:r>
      </w:hyperlink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 –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Português</w:t>
      </w:r>
      <w:proofErr w:type="spellEnd"/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iv.remete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Litigantes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Directivas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no tempo </w:t>
      </w:r>
      <w:proofErr w:type="gram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do</w:t>
      </w:r>
      <w:proofErr w:type="gram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enquanto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forem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modificado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Elas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disponíveis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sítios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internet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: </w:t>
      </w:r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hyperlink r:id="rId7" w:tgtFrame="_blank" w:history="1">
        <w:r w:rsidRPr="00724D06">
          <w:rPr>
            <w:rStyle w:val="Hyperlink"/>
            <w:rFonts w:asciiTheme="minorHAnsi" w:hAnsiTheme="minorHAnsi" w:cstheme="minorHAnsi"/>
            <w:color w:val="0D5919"/>
            <w:sz w:val="23"/>
            <w:szCs w:val="23"/>
          </w:rPr>
          <w:t>https://t.co/wwxYJtcMdK?amp=1</w:t>
        </w:r>
      </w:hyperlink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 –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Inglês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hyperlink r:id="rId8" w:tgtFrame="_blank" w:history="1">
        <w:r w:rsidRPr="00724D06">
          <w:rPr>
            <w:rStyle w:val="Hyperlink"/>
            <w:rFonts w:asciiTheme="minorHAnsi" w:hAnsiTheme="minorHAnsi" w:cstheme="minorHAnsi"/>
            <w:color w:val="0D5919"/>
            <w:sz w:val="23"/>
            <w:szCs w:val="23"/>
          </w:rPr>
          <w:t>https://t.co/9nykd1IKir?amp=1</w:t>
        </w:r>
      </w:hyperlink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 –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Francês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br/>
      </w:r>
      <w:hyperlink r:id="rId9" w:tgtFrame="_blank" w:history="1">
        <w:r w:rsidRPr="00724D06">
          <w:rPr>
            <w:rStyle w:val="Hyperlink"/>
            <w:rFonts w:asciiTheme="minorHAnsi" w:hAnsiTheme="minorHAnsi" w:cstheme="minorHAnsi"/>
            <w:color w:val="0D5919"/>
            <w:sz w:val="23"/>
            <w:szCs w:val="23"/>
          </w:rPr>
          <w:t>https://t.co/WOQOuFBn3b?amp=1</w:t>
        </w:r>
      </w:hyperlink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 –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Português</w:t>
      </w:r>
      <w:proofErr w:type="spellEnd"/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>c)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Perspectivas</w:t>
      </w:r>
      <w:proofErr w:type="spellEnd"/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16.O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está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convencido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essencial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simplificado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eficiente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. No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entanto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deste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objectivo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continua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depender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intervenientes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regional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17.O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acredita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complementaridade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entre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o Tribunal é um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reforço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isso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instruiu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processar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transferência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para o Tribunal,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encoraja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colaborarem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nesse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sentido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18.O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encoraja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prosseguir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conclusão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regime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transitório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judiciária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alteração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directivas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criar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oposição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revalia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um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defesa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vai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tornar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equilibrado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perante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19.O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está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disposto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cooperar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tribunais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superiores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ordens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advogados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investigação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universidades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divulgação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vulgarização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jurisprudência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procedimento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20.O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continua,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portanto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reunir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diversas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perspectivas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reforçar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e,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reforçar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confiado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21.Não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poderia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terminar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felicitar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Pedro Rosa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Có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Chefe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Equipa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Processamento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Comunicações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toda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equipa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notável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realizaram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assumiu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funções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24D06" w:rsidRPr="00724D06" w:rsidRDefault="00724D06" w:rsidP="00724D06">
      <w:pPr>
        <w:pStyle w:val="text-align-justify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Obrigado pela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vossa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24D06">
        <w:rPr>
          <w:rFonts w:asciiTheme="minorHAnsi" w:hAnsiTheme="minorHAnsi" w:cstheme="minorHAnsi"/>
          <w:color w:val="53575A"/>
          <w:sz w:val="23"/>
          <w:szCs w:val="23"/>
        </w:rPr>
        <w:t>atenção</w:t>
      </w:r>
      <w:proofErr w:type="spellEnd"/>
      <w:r w:rsidRPr="00724D06">
        <w:rPr>
          <w:rFonts w:asciiTheme="minorHAnsi" w:hAnsiTheme="minorHAnsi" w:cstheme="minorHAnsi"/>
          <w:color w:val="53575A"/>
          <w:sz w:val="23"/>
          <w:szCs w:val="23"/>
        </w:rPr>
        <w:t>!</w:t>
      </w:r>
    </w:p>
    <w:p w:rsidR="00724D06" w:rsidRDefault="00724D06" w:rsidP="00724D06">
      <w:bookmarkStart w:id="0" w:name="_GoBack"/>
      <w:bookmarkEnd w:id="0"/>
    </w:p>
    <w:sectPr w:rsidR="00724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06"/>
    <w:rsid w:val="00724D06"/>
    <w:rsid w:val="00A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95958"/>
  <w15:chartTrackingRefBased/>
  <w15:docId w15:val="{2418C9B1-C85A-4438-BCFE-C7AC65A1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D0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72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24D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397844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9nykd1IKir?am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co/wwxYJtcMdK?am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co/Gt7lkcdg0f?amp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co/w54RAKzmTW?amp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co/K6uvGhu2ZZ?amp=1" TargetMode="External"/><Relationship Id="rId9" Type="http://schemas.openxmlformats.org/officeDocument/2006/relationships/hyperlink" Target="https://t.co/WOQOuFBn3b?am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2023-08-03T12:25:00Z</dcterms:created>
  <dcterms:modified xsi:type="dcterms:W3CDTF">2023-08-03T12:26:00Z</dcterms:modified>
</cp:coreProperties>
</file>