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82" w:rsidRPr="003A4582" w:rsidRDefault="003A4582" w:rsidP="003A458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coups d'état, les transitions </w:t>
      </w: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militaires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qui </w:t>
      </w: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découlent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Burkina Faso, </w:t>
      </w: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Guinée</w:t>
      </w:r>
      <w:proofErr w:type="spellEnd"/>
      <w:r w:rsidRPr="003A45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, au Mali et au Soudan - CADHP/Rés.548 (LXXIII) 2022</w:t>
      </w:r>
    </w:p>
    <w:p w:rsidR="00314BB4" w:rsidRPr="003A4582" w:rsidRDefault="003A458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3A4582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3A4582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3A4582" w:rsidRPr="003A4582" w:rsidRDefault="003A458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tenue du 20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du droit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«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l’intermédiaire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»,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13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et du « droit de tout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l’autodétermination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»,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20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ACHPR/Res. 515 (LXX) sur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reconnaissance,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son Etude sur « La prise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questions relatives aux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», que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empiètent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sur divers droits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vie, à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personnelle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régulière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participation, le droit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l’autodétermination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le droit à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exigences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« respect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droit et de la bonne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» (Article 4(m)</w:t>
      </w:r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putschs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les coups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23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7(1)(g) du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prévoient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suspension de la participation aux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d’un pays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suite à un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anticonstitutionnel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résurgence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coups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quatre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subi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coups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2021 et un pays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connu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coups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Déplorant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les crises que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coups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occasionnent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sur fond de crises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sécuritaires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sociopolitiques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directes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négatives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raison de la perturbation des services; 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Concernée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les coups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 Burkina Faso, au Mali, et au Soudan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lieu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d’insécurité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majeure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d’aggravation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crises socio-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l’Autorité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CEDEAO ;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Condamnant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violente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au  Soudan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impliquant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la force, y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balles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réelles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causant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blessures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affirmant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respecter et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devenue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récurrente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culminé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avec la dissolution du principal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du pays, le Front national pour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Constitution (FNDC),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aurait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violé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participation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Egalement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la perturbation du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d’adoption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par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suspendu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Constitutionnelle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>1)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Déclare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les coups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constituent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rétrogrades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contraires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qu’aux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constitutionnel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>2)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Réaffirme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4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>3)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prise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 Burkina Faso,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au Soudan, et </w:t>
      </w:r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Mali ;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>4)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les droits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tout moment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droits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aux services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publics, y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>5)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:</w:t>
      </w:r>
      <w:r w:rsidRPr="003A4582">
        <w:rPr>
          <w:rFonts w:asciiTheme="minorHAnsi" w:hAnsiTheme="minorHAnsi" w:cstheme="minorHAnsi"/>
          <w:color w:val="53575A"/>
          <w:sz w:val="23"/>
          <w:szCs w:val="23"/>
        </w:rPr>
        <w:br/>
        <w:t xml:space="preserve">(a)la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continue des droits et la limitation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 Soudan par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coup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d’octobre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2021,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les services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qui a fait au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117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plus de 2 000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jour ; et</w:t>
      </w:r>
      <w:r w:rsidRPr="003A4582">
        <w:rPr>
          <w:rFonts w:asciiTheme="minorHAnsi" w:hAnsiTheme="minorHAnsi" w:cstheme="minorHAnsi"/>
          <w:color w:val="53575A"/>
          <w:sz w:val="23"/>
          <w:szCs w:val="23"/>
        </w:rPr>
        <w:br/>
        <w:t xml:space="preserve">(b)la violation,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du droit à la vie et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physique ; et la dissolution du Front national pour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Constitution (FNDC) par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national du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rassemblement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(CNRD),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junte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2021 ;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>6)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mené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exigences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impliquées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leadership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transition de ne pas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organisées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la fin de la transition pour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constitutionnel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>7)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violations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occasionnées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par le coup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organisé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pendant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tiennent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facto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rênes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lastRenderedPageBreak/>
        <w:t>8)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transitions,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l'objet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d'enquêtes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poursuites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9)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arrêtés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du droit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manifester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10)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révisions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à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constitutionnelles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touchés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: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séparation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l'équilibre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branches du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solides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l'indépendance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constitutionnels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commissions des droits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;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financière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distribution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opportunités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que des services ; et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A4582" w:rsidRPr="003A4582" w:rsidRDefault="003A4582" w:rsidP="003A458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11)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combler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d’application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qu’énoncées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Lomé de 2000 et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3A4582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A4582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3A4582" w:rsidRPr="003A4582" w:rsidRDefault="003A4582" w:rsidP="003A4582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A45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3A45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A45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09 </w:t>
      </w:r>
      <w:proofErr w:type="spellStart"/>
      <w:r w:rsidRPr="003A45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A45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3A4582" w:rsidRDefault="003A4582"/>
    <w:sectPr w:rsidR="003A4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2"/>
    <w:rsid w:val="00314BB4"/>
    <w:rsid w:val="003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FCC25"/>
  <w15:chartTrackingRefBased/>
  <w15:docId w15:val="{F9061E8C-73E0-4894-B0AD-B268650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58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3A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3A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A4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9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2023-05-31T11:22:00Z</dcterms:created>
  <dcterms:modified xsi:type="dcterms:W3CDTF">2023-05-31T11:24:00Z</dcterms:modified>
</cp:coreProperties>
</file>