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BB" w:rsidRPr="008E75BB" w:rsidRDefault="008E75BB" w:rsidP="008E75B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E75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E75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E75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Nigéria</w:t>
      </w:r>
      <w:proofErr w:type="spellEnd"/>
      <w:r w:rsidRPr="008E75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CADHP/Res.16(XVII)95</w:t>
      </w:r>
    </w:p>
    <w:bookmarkEnd w:id="0"/>
    <w:p w:rsidR="008E75BB" w:rsidRPr="008E75BB" w:rsidRDefault="008E75BB" w:rsidP="008E75B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E75BB">
        <w:rPr>
          <w:rFonts w:eastAsia="Times New Roman" w:cstheme="minorHAnsi"/>
          <w:color w:val="231F20"/>
          <w:sz w:val="23"/>
          <w:szCs w:val="23"/>
          <w:lang w:eastAsia="en-ZA"/>
        </w:rPr>
        <w:t> Mar 22, 1995</w:t>
      </w:r>
    </w:p>
    <w:p w:rsidR="00D02492" w:rsidRPr="008E75BB" w:rsidRDefault="00D02492">
      <w:pPr>
        <w:rPr>
          <w:rFonts w:cstheme="minorHAnsi"/>
        </w:rPr>
      </w:pPr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17ème Session </w:t>
      </w:r>
      <w:proofErr w:type="spellStart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E75BB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du 13 au 22 mars 1995 à Lomé, Togo,</w:t>
      </w:r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Guidée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 Nigeria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signataire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Parties, y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 Nigeria,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 devoir de respecter les obligations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acceptées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des divers instruments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16ème Session tenue à Banjul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1994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condamnait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graves violations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au Nigeria par le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8E75B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par la situation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au Nigeria,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éventuellement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résulter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75B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 les violations graves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au Nigeria,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)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des critiques et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opposants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ii) les graves restrictions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exercées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sur les droits à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journaux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bulletins ;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iii) la limitation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l'indépendance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pourvoir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sur pied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indépendance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soupçonnées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d’être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opposants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iv)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habeas corpus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br/>
        <w:t>v) les restrictions au droit de quitter le pays ;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vi) les restrictions au droit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association ;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vii) la promulgation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décrets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révoquant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empêchant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d'intervenir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violation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75B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APPEL 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Nigeria pour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veille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au respect des droits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primauté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droit,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libérant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réouvrant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communications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fermés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respectant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levant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restrictions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imposées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sur le droit de se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déplacer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supprimant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E75BB" w:rsidRPr="008E75BB" w:rsidRDefault="008E75BB" w:rsidP="008E7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75B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EN OUTRE UN APPEL</w:t>
      </w:r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du Nigeria pour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prenne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à assurer le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75BB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E75B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E75BB" w:rsidRDefault="008E75BB"/>
    <w:sectPr w:rsidR="008E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B"/>
    <w:rsid w:val="008E75BB"/>
    <w:rsid w:val="00D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E2C5D"/>
  <w15:chartTrackingRefBased/>
  <w15:docId w15:val="{98A4E783-8BAD-4DEC-B5A6-60582562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5B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E75BB"/>
    <w:rPr>
      <w:b/>
      <w:bCs/>
    </w:rPr>
  </w:style>
  <w:style w:type="character" w:styleId="Emphasis">
    <w:name w:val="Emphasis"/>
    <w:basedOn w:val="DefaultParagraphFont"/>
    <w:uiPriority w:val="20"/>
    <w:qFormat/>
    <w:rsid w:val="008E7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354423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2023-09-13T09:39:00Z</dcterms:created>
  <dcterms:modified xsi:type="dcterms:W3CDTF">2023-09-13T09:42:00Z</dcterms:modified>
</cp:coreProperties>
</file>