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5B" w:rsidRPr="005E725B" w:rsidRDefault="005E725B" w:rsidP="005E725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E72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E72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5E72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E72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Zimbabwe - CADHP/Res.89(XXXVIII)05</w:t>
      </w:r>
    </w:p>
    <w:bookmarkEnd w:id="0"/>
    <w:p w:rsidR="005E725B" w:rsidRPr="005E725B" w:rsidRDefault="005E725B" w:rsidP="005E725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E725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E725B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5E725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681CDE" w:rsidRPr="006F4556" w:rsidRDefault="00681CDE">
      <w:pPr>
        <w:rPr>
          <w:rFonts w:cstheme="minorHAnsi"/>
        </w:rPr>
      </w:pPr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38èmeSession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que le Zimbabwe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la 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et aux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Zimbabwe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Zimbabwe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2002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Zimbabwe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l’Envoyée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pour les questions relatives aux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Établissements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Zimbabwe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son Rapport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22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2005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l’affaiblissement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continu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l’appareil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mépris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desdécisions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destribunaux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juges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l’interférence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l’exécutif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Également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par les violations continues et la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Zimbabwe, la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défiance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droit et la culture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croissante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Alarmée</w:t>
      </w:r>
      <w:proofErr w:type="spellEnd"/>
      <w:r w:rsidRPr="006F455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associées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expulsions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Zimbabwe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1. </w:t>
      </w:r>
      <w:proofErr w:type="spellStart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les violations des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Zimbabwe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2. </w:t>
      </w:r>
      <w:proofErr w:type="spellStart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Zimbabwe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expulsions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tout le pays et de respecter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et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Zimbabwe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3. Encourage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Zimbabwe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2002 de la Commission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Zimbabwe et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rapport du 22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2005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l’Envoyée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pour les questions relatives aux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Etablissements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assurant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total et sans obstacle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l’offre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d’aide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de protection aux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expulsions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démolitions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justice sans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4. </w:t>
      </w:r>
      <w:proofErr w:type="spellStart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respecter les droits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syndicale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abrogeant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amendant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répressives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>: </w:t>
      </w:r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Access to Information and Protection of Privacy Act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Broadcasting Services Act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>et </w:t>
      </w:r>
      <w:r w:rsidRPr="006F4556">
        <w:rPr>
          <w:rFonts w:asciiTheme="minorHAnsi" w:hAnsiTheme="minorHAnsi" w:cstheme="minorHAnsi"/>
          <w:i/>
          <w:iCs/>
          <w:color w:val="53575A"/>
          <w:sz w:val="23"/>
          <w:szCs w:val="23"/>
        </w:rPr>
        <w:t>Public Order and Security Act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5. </w:t>
      </w:r>
      <w:proofErr w:type="spellStart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gouvernementà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défendre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d’indépendance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abroger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amender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l’Amendement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constitutionnel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(No.17) et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offrir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constitutionnelle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</w:t>
      </w:r>
      <w:proofErr w:type="spellStart"/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6. </w:t>
      </w:r>
      <w:proofErr w:type="spellStart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du Zimbabwe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qu’avec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autorisant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Zimbabwe ;</w:t>
      </w:r>
      <w:proofErr w:type="gramEnd"/>
    </w:p>
    <w:p w:rsidR="006F4556" w:rsidRPr="006F4556" w:rsidRDefault="006F4556" w:rsidP="006F45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5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7.Exhorte 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l'Envoyé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au Zimbabwe aux fins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sur les implications pour les droits de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des expulsions et des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démolitions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556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6F455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E725B" w:rsidRDefault="005E725B"/>
    <w:sectPr w:rsidR="005E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B"/>
    <w:rsid w:val="005E725B"/>
    <w:rsid w:val="00681CDE"/>
    <w:rsid w:val="006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4977C"/>
  <w15:chartTrackingRefBased/>
  <w15:docId w15:val="{20793A31-FFC6-4B70-BA1F-B98F434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25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466831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2023-09-29T10:15:00Z</dcterms:created>
  <dcterms:modified xsi:type="dcterms:W3CDTF">2023-09-29T10:27:00Z</dcterms:modified>
</cp:coreProperties>
</file>