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3" w:rsidRPr="00416A03" w:rsidRDefault="00416A03" w:rsidP="00416A0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l’Accroissement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Nombre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l’Environnement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bookmarkEnd w:id="0"/>
      <w:proofErr w:type="spellEnd"/>
      <w:r w:rsidRPr="00416A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CADHP/Res.175(XLVIII)10</w:t>
      </w:r>
    </w:p>
    <w:p w:rsidR="00416A03" w:rsidRPr="00416A03" w:rsidRDefault="00416A03" w:rsidP="00416A0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16A0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16A0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16A0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A869E4" w:rsidRPr="00416A03" w:rsidRDefault="00A869E4">
      <w:pPr>
        <w:rPr>
          <w:rFonts w:cstheme="minorHAnsi"/>
        </w:rPr>
      </w:pPr>
    </w:p>
    <w:p w:rsidR="00416A03" w:rsidRPr="00416A03" w:rsidRDefault="00416A03" w:rsidP="00416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48</w:t>
      </w:r>
      <w:r w:rsidRPr="00416A03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10 au 24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2010 à Banjul,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</w:p>
    <w:p w:rsidR="00416A03" w:rsidRPr="00416A03" w:rsidRDefault="00416A03" w:rsidP="00416A0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6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Rappelant</w:t>
      </w:r>
      <w:proofErr w:type="spellEnd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sa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mission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promouvoir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droits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peuples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veiller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à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protection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Afrique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vertu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la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Charte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africaine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droits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peuples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(la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Charte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africaine</w:t>
      </w:r>
      <w:proofErr w:type="spellEnd"/>
      <w:proofErr w:type="gram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) ;</w:t>
      </w:r>
      <w:proofErr w:type="gramEnd"/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Rappelant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sa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Résolution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r w:rsidRPr="00416A03">
        <w:rPr>
          <w:rFonts w:eastAsia="Times New Roman" w:cstheme="minorHAnsi"/>
          <w:i/>
          <w:iCs/>
          <w:color w:val="333333"/>
          <w:sz w:val="20"/>
          <w:szCs w:val="20"/>
          <w:lang w:eastAsia="en-ZA"/>
        </w:rPr>
        <w:t>ACHPR/Res148(XLVI)09:</w:t>
      </w: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adopté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sa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46ème Session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ordinaire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la CADHP tenue à Banjul,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Gambie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du 11 au 25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novembre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2009, la CADHP a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mis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sur pied un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Groupe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travail sur les Industries extractives,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l’Environnement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les Violations des droits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proofErr w:type="gram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Afrique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 ;</w:t>
      </w:r>
      <w:proofErr w:type="gramEnd"/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Considérant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tous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instruments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régionaux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internationaux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pertinents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particulier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Articles 21 et 24 de la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Charte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africaine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relatifs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au droit des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peuples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disposer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librement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leurs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richesses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leurs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ressources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naturelles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et au droit de vivre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dans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un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environnement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satisfaisant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global,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propice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à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proofErr w:type="gram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développement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;</w:t>
      </w:r>
      <w:proofErr w:type="gramEnd"/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Gardant</w:t>
      </w:r>
      <w:proofErr w:type="spellEnd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 xml:space="preserve"> à </w:t>
      </w:r>
      <w:proofErr w:type="spellStart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l'esprit</w:t>
      </w:r>
      <w:proofErr w:type="spellEnd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 xml:space="preserve"> </w:t>
      </w: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le rapport de 2003 du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Groupe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travail sur les populations/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communautés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autochtones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particulier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conclusions sur les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diverses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violations des droits des populations/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communautés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proofErr w:type="gram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autochtones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;</w:t>
      </w:r>
      <w:proofErr w:type="gramEnd"/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Convaincue</w:t>
      </w:r>
      <w:proofErr w:type="spellEnd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 xml:space="preserve"> </w:t>
      </w: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de la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nécessité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d’une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meilleure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protection des droits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humains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à travers le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développement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d’une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jurisprudence tenant les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acteurs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non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étatiques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responsables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violations de droits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proofErr w:type="gram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Afrique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;</w:t>
      </w:r>
      <w:proofErr w:type="gramEnd"/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>Reconnaissant</w:t>
      </w:r>
      <w:proofErr w:type="spellEnd"/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 xml:space="preserve"> </w:t>
      </w: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que le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succès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Groupe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travail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dépend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l’engagement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ses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membres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notamment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capacité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à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exécuter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mission et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l’importance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la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recherche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des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connaissances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du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renforcement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capacités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Groupe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gram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travail ;</w:t>
      </w:r>
      <w:proofErr w:type="gram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</w:p>
    <w:p w:rsidR="00416A03" w:rsidRPr="00416A03" w:rsidRDefault="00416A03" w:rsidP="00416A0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D</w:t>
      </w:r>
      <w:r w:rsidRPr="00416A03">
        <w:rPr>
          <w:rFonts w:eastAsia="Times New Roman" w:cstheme="minorHAnsi"/>
          <w:b/>
          <w:bCs/>
          <w:color w:val="333333"/>
          <w:sz w:val="20"/>
          <w:szCs w:val="20"/>
          <w:lang w:eastAsia="en-ZA"/>
        </w:rPr>
        <w:t xml:space="preserve">ECIDE </w:t>
      </w: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nommer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un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représentant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r w:rsidRPr="00416A03">
        <w:rPr>
          <w:rFonts w:eastAsia="Times New Roman" w:cstheme="minorHAnsi"/>
          <w:i/>
          <w:iCs/>
          <w:color w:val="333333"/>
          <w:sz w:val="20"/>
          <w:szCs w:val="20"/>
          <w:lang w:eastAsia="en-ZA"/>
        </w:rPr>
        <w:t>Centre for Human Right</w:t>
      </w:r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s,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l’Université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Pretoria,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comme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membre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du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Groupe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travail sur les Industries extractives,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l’Environnement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les Violations des droits de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l’homme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>Afrique</w:t>
      </w:r>
      <w:proofErr w:type="spellEnd"/>
      <w:r w:rsidRPr="00416A03">
        <w:rPr>
          <w:rFonts w:eastAsia="Times New Roman" w:cstheme="minorHAnsi"/>
          <w:color w:val="333333"/>
          <w:sz w:val="20"/>
          <w:szCs w:val="20"/>
          <w:lang w:eastAsia="en-ZA"/>
        </w:rPr>
        <w:t xml:space="preserve">. </w:t>
      </w:r>
    </w:p>
    <w:p w:rsidR="00416A03" w:rsidRPr="00416A03" w:rsidRDefault="00416A03" w:rsidP="00416A03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6A0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16A03" w:rsidRPr="00416A03" w:rsidRDefault="00416A03" w:rsidP="00416A03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6A0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416A03" w:rsidRDefault="00416A03"/>
    <w:sectPr w:rsidR="00416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3"/>
    <w:rsid w:val="00416A03"/>
    <w:rsid w:val="00A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1F2E2"/>
  <w15:chartTrackingRefBased/>
  <w15:docId w15:val="{A957B45D-E9CB-48FC-B8FD-F65D2B0A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A0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1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A03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Emphasis">
    <w:name w:val="Emphasis"/>
    <w:basedOn w:val="DefaultParagraphFont"/>
    <w:uiPriority w:val="20"/>
    <w:qFormat/>
    <w:rsid w:val="00416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248898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2023-09-22T13:50:00Z</dcterms:created>
  <dcterms:modified xsi:type="dcterms:W3CDTF">2023-09-22T13:53:00Z</dcterms:modified>
</cp:coreProperties>
</file>