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CD" w:rsidRPr="004B1BCD" w:rsidRDefault="004B1BCD" w:rsidP="004B1BC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B1B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CADHP/Res.205(L)2011</w:t>
      </w:r>
    </w:p>
    <w:bookmarkEnd w:id="0"/>
    <w:p w:rsidR="004B1BCD" w:rsidRPr="004B1BCD" w:rsidRDefault="004B1BCD" w:rsidP="004B1BC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B1BC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B1BC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B1BC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D1448D" w:rsidRPr="004B1BCD" w:rsidRDefault="00D1448D">
      <w:pPr>
        <w:rPr>
          <w:rFonts w:cstheme="minorHAnsi"/>
        </w:rPr>
      </w:pP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des Droits de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50ème Session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24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4B1BC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2011 :</w:t>
      </w:r>
      <w:proofErr w:type="gramEnd"/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ACHPR/Res.38(XXXVIII) 99,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25 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tenue du 26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Burundi, sur la 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et la nomination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Julienne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Ondziel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Gnelenga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18 (3)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30</w:t>
      </w:r>
      <w:r w:rsidRPr="004B1BC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tenue du 17 au 27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Angelo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;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ACHPR/Res.63(XXXIV) 03,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34ème 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2003;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ACHPR/Res.78(XXXVIII) 05,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tenue du 21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sur le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 ACHPR/Res.112(XXXXII)07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la 42ème 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tenue à Brazzaville,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2007 relative au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  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effective par les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femme ;</w:t>
      </w:r>
      <w:proofErr w:type="gramEnd"/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proofErr w:type="gram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le travail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accompli par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 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ACHPR/Res154(XLVI) 09, sur le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46ème session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24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2009 à Banjul,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> que le 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 </w:t>
      </w:r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4B1BC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color w:val="53575A"/>
          <w:sz w:val="23"/>
          <w:szCs w:val="23"/>
        </w:rPr>
        <w:t xml:space="preserve"> 2011.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1B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B1BCD" w:rsidRPr="004B1BCD" w:rsidRDefault="004B1BCD" w:rsidP="004B1B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 xml:space="preserve">Fait à Banjul,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5 </w:t>
      </w:r>
      <w:proofErr w:type="spellStart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4B1BC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</w:t>
      </w:r>
    </w:p>
    <w:p w:rsidR="004B1BCD" w:rsidRDefault="004B1BCD"/>
    <w:sectPr w:rsidR="004B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D"/>
    <w:rsid w:val="004B1BCD"/>
    <w:rsid w:val="00D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55B84"/>
  <w15:chartTrackingRefBased/>
  <w15:docId w15:val="{691DD518-4722-449D-8B3D-45D9D60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C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300658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886685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2023-09-20T09:05:00Z</dcterms:created>
  <dcterms:modified xsi:type="dcterms:W3CDTF">2023-09-20T09:08:00Z</dcterms:modified>
</cp:coreProperties>
</file>