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64" w:rsidRPr="00B21764" w:rsidRDefault="002D0AF8" w:rsidP="00B21764">
      <w:pPr>
        <w:spacing w:before="90" w:after="0" w:line="240" w:lineRule="auto"/>
        <w:ind w:left="477" w:right="877"/>
        <w:jc w:val="both"/>
        <w:outlineLvl w:val="3"/>
        <w:rPr>
          <w:rFonts w:ascii="Times New Roman" w:eastAsia="Times New Roman" w:hAnsi="Times New Roman" w:cs="Times New Roman"/>
          <w:b/>
          <w:bCs/>
          <w:sz w:val="24"/>
          <w:szCs w:val="24"/>
          <w:lang w:eastAsia="en-ZA"/>
        </w:rPr>
      </w:pPr>
      <w:r>
        <w:rPr>
          <w:rFonts w:ascii="Times New Roman" w:eastAsia="Times New Roman" w:hAnsi="Times New Roman" w:cs="Times New Roman"/>
          <w:b/>
          <w:bCs/>
          <w:i/>
          <w:iCs/>
          <w:color w:val="000000"/>
          <w:sz w:val="24"/>
          <w:szCs w:val="24"/>
          <w:u w:val="single"/>
          <w:lang w:eastAsia="en-ZA"/>
        </w:rPr>
        <w:t>ACHPR/</w:t>
      </w:r>
      <w:proofErr w:type="gramStart"/>
      <w:r>
        <w:rPr>
          <w:rFonts w:ascii="Times New Roman" w:eastAsia="Times New Roman" w:hAnsi="Times New Roman" w:cs="Times New Roman"/>
          <w:b/>
          <w:bCs/>
          <w:i/>
          <w:iCs/>
          <w:color w:val="000000"/>
          <w:sz w:val="24"/>
          <w:szCs w:val="24"/>
          <w:u w:val="single"/>
          <w:lang w:eastAsia="en-ZA"/>
        </w:rPr>
        <w:t>Res.222(</w:t>
      </w:r>
      <w:proofErr w:type="gramEnd"/>
      <w:r>
        <w:rPr>
          <w:rFonts w:ascii="Times New Roman" w:eastAsia="Times New Roman" w:hAnsi="Times New Roman" w:cs="Times New Roman"/>
          <w:b/>
          <w:bCs/>
          <w:i/>
          <w:iCs/>
          <w:color w:val="000000"/>
          <w:sz w:val="24"/>
          <w:szCs w:val="24"/>
          <w:u w:val="single"/>
          <w:lang w:eastAsia="en-ZA"/>
        </w:rPr>
        <w:t>LI)</w:t>
      </w:r>
      <w:r w:rsidR="00B21764" w:rsidRPr="00B21764">
        <w:rPr>
          <w:rFonts w:ascii="Times New Roman" w:eastAsia="Times New Roman" w:hAnsi="Times New Roman" w:cs="Times New Roman"/>
          <w:b/>
          <w:bCs/>
          <w:i/>
          <w:iCs/>
          <w:color w:val="000000"/>
          <w:sz w:val="24"/>
          <w:szCs w:val="24"/>
          <w:u w:val="single"/>
          <w:lang w:eastAsia="en-ZA"/>
        </w:rPr>
        <w:t>2012</w:t>
      </w:r>
      <w:r>
        <w:rPr>
          <w:rFonts w:ascii="Times New Roman" w:eastAsia="Times New Roman" w:hAnsi="Times New Roman" w:cs="Times New Roman"/>
          <w:b/>
          <w:bCs/>
          <w:color w:val="000000"/>
          <w:sz w:val="24"/>
          <w:szCs w:val="24"/>
          <w:lang w:eastAsia="en-ZA"/>
        </w:rPr>
        <w:t xml:space="preserve">:RESOLUTION </w:t>
      </w:r>
      <w:r w:rsidR="00B21764" w:rsidRPr="00B21764">
        <w:rPr>
          <w:rFonts w:ascii="Times New Roman" w:eastAsia="Times New Roman" w:hAnsi="Times New Roman" w:cs="Times New Roman"/>
          <w:b/>
          <w:bCs/>
          <w:color w:val="000000"/>
          <w:sz w:val="24"/>
          <w:szCs w:val="24"/>
          <w:lang w:eastAsia="en-ZA"/>
        </w:rPr>
        <w:t>TO MODIFY THE DECLARATION OF PRINCIPLES ON FREEDOM OF EXPRESSION TO INCLUDE ACCESS TO INFORMATION AND REQUEST FOR A COMMEMORATIVE DAY ON FREEDOM OF INFORMATION</w:t>
      </w:r>
    </w:p>
    <w:p w:rsidR="00B21764" w:rsidRPr="00B21764" w:rsidRDefault="00B21764" w:rsidP="00B21764">
      <w:pPr>
        <w:spacing w:after="0" w:line="240" w:lineRule="auto"/>
        <w:rPr>
          <w:rFonts w:ascii="Times New Roman" w:eastAsia="Times New Roman" w:hAnsi="Times New Roman" w:cs="Times New Roman"/>
          <w:sz w:val="24"/>
          <w:szCs w:val="24"/>
          <w:lang w:eastAsia="en-ZA"/>
        </w:rPr>
      </w:pPr>
    </w:p>
    <w:p w:rsidR="00B21764" w:rsidRPr="00B21764" w:rsidRDefault="00B21764" w:rsidP="00B21764">
      <w:pPr>
        <w:spacing w:after="0" w:line="240" w:lineRule="auto"/>
        <w:ind w:left="477" w:right="878"/>
        <w:jc w:val="both"/>
        <w:rPr>
          <w:rFonts w:ascii="Times New Roman" w:eastAsia="Times New Roman" w:hAnsi="Times New Roman" w:cs="Times New Roman"/>
          <w:sz w:val="24"/>
          <w:szCs w:val="24"/>
          <w:lang w:eastAsia="en-ZA"/>
        </w:rPr>
      </w:pPr>
      <w:r w:rsidRPr="00B21764">
        <w:rPr>
          <w:rFonts w:ascii="Times New Roman" w:eastAsia="Times New Roman" w:hAnsi="Times New Roman" w:cs="Times New Roman"/>
          <w:i/>
          <w:iCs/>
          <w:color w:val="000000"/>
          <w:sz w:val="24"/>
          <w:szCs w:val="24"/>
          <w:lang w:eastAsia="en-ZA"/>
        </w:rPr>
        <w:t>The African Commission on Human and Peoples’ Rights (the African Commission) meeting at its 50</w:t>
      </w:r>
      <w:r w:rsidRPr="00B21764">
        <w:rPr>
          <w:rFonts w:ascii="Times New Roman" w:eastAsia="Times New Roman" w:hAnsi="Times New Roman" w:cs="Times New Roman"/>
          <w:i/>
          <w:iCs/>
          <w:color w:val="000000"/>
          <w:sz w:val="14"/>
          <w:szCs w:val="14"/>
          <w:vertAlign w:val="superscript"/>
          <w:lang w:eastAsia="en-ZA"/>
        </w:rPr>
        <w:t>th</w:t>
      </w:r>
      <w:r w:rsidRPr="00B21764">
        <w:rPr>
          <w:rFonts w:ascii="Times New Roman" w:eastAsia="Times New Roman" w:hAnsi="Times New Roman" w:cs="Times New Roman"/>
          <w:i/>
          <w:iCs/>
          <w:color w:val="000000"/>
          <w:sz w:val="24"/>
          <w:szCs w:val="24"/>
          <w:lang w:eastAsia="en-ZA"/>
        </w:rPr>
        <w:t xml:space="preserve"> Ordinary Session held in Banjul, The Gambia, from 18 April to 2 May 2012;</w:t>
      </w:r>
    </w:p>
    <w:p w:rsidR="00B21764" w:rsidRPr="00B21764" w:rsidRDefault="00B21764" w:rsidP="00B21764">
      <w:pPr>
        <w:spacing w:after="0" w:line="240" w:lineRule="auto"/>
        <w:rPr>
          <w:rFonts w:ascii="Times New Roman" w:eastAsia="Times New Roman" w:hAnsi="Times New Roman" w:cs="Times New Roman"/>
          <w:sz w:val="24"/>
          <w:szCs w:val="24"/>
          <w:lang w:eastAsia="en-ZA"/>
        </w:rPr>
      </w:pPr>
    </w:p>
    <w:p w:rsidR="002D0AF8" w:rsidRDefault="00B21764" w:rsidP="00B21764">
      <w:pPr>
        <w:spacing w:after="0" w:line="240" w:lineRule="auto"/>
        <w:ind w:left="477"/>
        <w:jc w:val="both"/>
        <w:rPr>
          <w:rFonts w:ascii="Times New Roman" w:eastAsia="Times New Roman" w:hAnsi="Times New Roman" w:cs="Times New Roman"/>
          <w:color w:val="000000"/>
          <w:sz w:val="24"/>
          <w:szCs w:val="24"/>
          <w:lang w:eastAsia="en-ZA"/>
        </w:rPr>
      </w:pPr>
      <w:r w:rsidRPr="00B21764">
        <w:rPr>
          <w:rFonts w:ascii="Times New Roman" w:eastAsia="Times New Roman" w:hAnsi="Times New Roman" w:cs="Times New Roman"/>
          <w:b/>
          <w:bCs/>
          <w:i/>
          <w:iCs/>
          <w:color w:val="000000"/>
          <w:sz w:val="24"/>
          <w:szCs w:val="24"/>
          <w:lang w:eastAsia="en-ZA"/>
        </w:rPr>
        <w:t xml:space="preserve">Recognising </w:t>
      </w:r>
      <w:r w:rsidRPr="00B21764">
        <w:rPr>
          <w:rFonts w:ascii="Times New Roman" w:eastAsia="Times New Roman" w:hAnsi="Times New Roman" w:cs="Times New Roman"/>
          <w:color w:val="000000"/>
          <w:sz w:val="24"/>
          <w:szCs w:val="24"/>
          <w:lang w:eastAsia="en-ZA"/>
        </w:rPr>
        <w:t>its mandate to promote and protect human and peoples’ rights pursuant</w:t>
      </w:r>
    </w:p>
    <w:p w:rsidR="00B21764" w:rsidRPr="00B21764" w:rsidRDefault="00B21764" w:rsidP="002D0AF8">
      <w:pPr>
        <w:spacing w:after="0" w:line="240" w:lineRule="auto"/>
        <w:ind w:left="477"/>
        <w:jc w:val="both"/>
        <w:rPr>
          <w:rFonts w:ascii="Times New Roman" w:eastAsia="Times New Roman" w:hAnsi="Times New Roman" w:cs="Times New Roman"/>
          <w:sz w:val="24"/>
          <w:szCs w:val="24"/>
          <w:lang w:eastAsia="en-ZA"/>
        </w:rPr>
      </w:pPr>
      <w:r w:rsidRPr="00B21764">
        <w:rPr>
          <w:rFonts w:ascii="Times New Roman" w:eastAsia="Times New Roman" w:hAnsi="Times New Roman" w:cs="Times New Roman"/>
          <w:color w:val="000000"/>
          <w:sz w:val="24"/>
          <w:szCs w:val="24"/>
          <w:lang w:eastAsia="en-ZA"/>
        </w:rPr>
        <w:t xml:space="preserve"> </w:t>
      </w:r>
      <w:proofErr w:type="gramStart"/>
      <w:r w:rsidRPr="00B21764">
        <w:rPr>
          <w:rFonts w:ascii="Times New Roman" w:eastAsia="Times New Roman" w:hAnsi="Times New Roman" w:cs="Times New Roman"/>
          <w:color w:val="000000"/>
          <w:sz w:val="24"/>
          <w:szCs w:val="24"/>
          <w:lang w:eastAsia="en-ZA"/>
        </w:rPr>
        <w:t>to</w:t>
      </w:r>
      <w:proofErr w:type="gramEnd"/>
      <w:r w:rsidRPr="00B21764">
        <w:rPr>
          <w:rFonts w:ascii="Times New Roman" w:eastAsia="Times New Roman" w:hAnsi="Times New Roman" w:cs="Times New Roman"/>
          <w:color w:val="000000"/>
          <w:sz w:val="24"/>
          <w:szCs w:val="24"/>
          <w:lang w:eastAsia="en-ZA"/>
        </w:rPr>
        <w:t xml:space="preserve"> the</w:t>
      </w:r>
      <w:r w:rsidR="002D0AF8">
        <w:rPr>
          <w:rFonts w:ascii="Times New Roman" w:eastAsia="Times New Roman" w:hAnsi="Times New Roman" w:cs="Times New Roman"/>
          <w:sz w:val="24"/>
          <w:szCs w:val="24"/>
          <w:lang w:eastAsia="en-ZA"/>
        </w:rPr>
        <w:t xml:space="preserve"> </w:t>
      </w:r>
      <w:r w:rsidRPr="00B21764">
        <w:rPr>
          <w:rFonts w:ascii="Times New Roman" w:eastAsia="Times New Roman" w:hAnsi="Times New Roman" w:cs="Times New Roman"/>
          <w:i/>
          <w:iCs/>
          <w:color w:val="000000"/>
          <w:sz w:val="24"/>
          <w:szCs w:val="24"/>
          <w:lang w:eastAsia="en-ZA"/>
        </w:rPr>
        <w:t xml:space="preserve">African Charter on Human and Peoples’ Rights </w:t>
      </w:r>
      <w:r w:rsidRPr="00B21764">
        <w:rPr>
          <w:rFonts w:ascii="Times New Roman" w:eastAsia="Times New Roman" w:hAnsi="Times New Roman" w:cs="Times New Roman"/>
          <w:color w:val="000000"/>
          <w:sz w:val="24"/>
          <w:szCs w:val="24"/>
          <w:lang w:eastAsia="en-ZA"/>
        </w:rPr>
        <w:t>(</w:t>
      </w:r>
      <w:r w:rsidRPr="00B21764">
        <w:rPr>
          <w:rFonts w:ascii="Times New Roman" w:eastAsia="Times New Roman" w:hAnsi="Times New Roman" w:cs="Times New Roman"/>
          <w:i/>
          <w:iCs/>
          <w:color w:val="000000"/>
          <w:sz w:val="24"/>
          <w:szCs w:val="24"/>
          <w:lang w:eastAsia="en-ZA"/>
        </w:rPr>
        <w:t>the African Charter</w:t>
      </w:r>
      <w:r w:rsidRPr="00B21764">
        <w:rPr>
          <w:rFonts w:ascii="Times New Roman" w:eastAsia="Times New Roman" w:hAnsi="Times New Roman" w:cs="Times New Roman"/>
          <w:color w:val="000000"/>
          <w:sz w:val="24"/>
          <w:szCs w:val="24"/>
          <w:lang w:eastAsia="en-ZA"/>
        </w:rPr>
        <w:t>);</w:t>
      </w:r>
    </w:p>
    <w:p w:rsidR="00B21764" w:rsidRPr="00B21764" w:rsidRDefault="00B21764" w:rsidP="00B21764">
      <w:pPr>
        <w:spacing w:after="0" w:line="240" w:lineRule="auto"/>
        <w:rPr>
          <w:rFonts w:ascii="Times New Roman" w:eastAsia="Times New Roman" w:hAnsi="Times New Roman" w:cs="Times New Roman"/>
          <w:sz w:val="24"/>
          <w:szCs w:val="24"/>
          <w:lang w:eastAsia="en-ZA"/>
        </w:rPr>
      </w:pPr>
    </w:p>
    <w:p w:rsidR="00B21764" w:rsidRPr="00B21764" w:rsidRDefault="00B21764" w:rsidP="00B21764">
      <w:pPr>
        <w:spacing w:after="0" w:line="240" w:lineRule="auto"/>
        <w:ind w:left="477" w:right="874"/>
        <w:jc w:val="both"/>
        <w:rPr>
          <w:rFonts w:ascii="Times New Roman" w:eastAsia="Times New Roman" w:hAnsi="Times New Roman" w:cs="Times New Roman"/>
          <w:sz w:val="24"/>
          <w:szCs w:val="24"/>
          <w:lang w:eastAsia="en-ZA"/>
        </w:rPr>
      </w:pPr>
      <w:r w:rsidRPr="00B21764">
        <w:rPr>
          <w:rFonts w:ascii="Times New Roman" w:eastAsia="Times New Roman" w:hAnsi="Times New Roman" w:cs="Times New Roman"/>
          <w:b/>
          <w:bCs/>
          <w:i/>
          <w:iCs/>
          <w:color w:val="000000"/>
          <w:sz w:val="24"/>
          <w:szCs w:val="24"/>
          <w:lang w:eastAsia="en-ZA"/>
        </w:rPr>
        <w:t xml:space="preserve">Underscoring </w:t>
      </w:r>
      <w:r w:rsidRPr="00B21764">
        <w:rPr>
          <w:rFonts w:ascii="Times New Roman" w:eastAsia="Times New Roman" w:hAnsi="Times New Roman" w:cs="Times New Roman"/>
          <w:color w:val="000000"/>
          <w:sz w:val="24"/>
          <w:szCs w:val="24"/>
          <w:lang w:eastAsia="en-ZA"/>
        </w:rPr>
        <w:t xml:space="preserve">that the right of access to information is enshrined in Article 9 of the </w:t>
      </w:r>
      <w:r w:rsidRPr="00B21764">
        <w:rPr>
          <w:rFonts w:ascii="Times New Roman" w:eastAsia="Times New Roman" w:hAnsi="Times New Roman" w:cs="Times New Roman"/>
          <w:i/>
          <w:iCs/>
          <w:color w:val="000000"/>
          <w:sz w:val="24"/>
          <w:szCs w:val="24"/>
          <w:lang w:eastAsia="en-ZA"/>
        </w:rPr>
        <w:t xml:space="preserve">African Charter, </w:t>
      </w:r>
      <w:r w:rsidRPr="00B21764">
        <w:rPr>
          <w:rFonts w:ascii="Times New Roman" w:eastAsia="Times New Roman" w:hAnsi="Times New Roman" w:cs="Times New Roman"/>
          <w:color w:val="000000"/>
          <w:sz w:val="24"/>
          <w:szCs w:val="24"/>
          <w:lang w:eastAsia="en-ZA"/>
        </w:rPr>
        <w:t xml:space="preserve">and other international human rights instruments, including Article 19 of the </w:t>
      </w:r>
      <w:r w:rsidRPr="00B21764">
        <w:rPr>
          <w:rFonts w:ascii="Times New Roman" w:eastAsia="Times New Roman" w:hAnsi="Times New Roman" w:cs="Times New Roman"/>
          <w:i/>
          <w:iCs/>
          <w:color w:val="000000"/>
          <w:sz w:val="24"/>
          <w:szCs w:val="24"/>
          <w:lang w:eastAsia="en-ZA"/>
        </w:rPr>
        <w:t xml:space="preserve">Universal Declaration of Human Rights (UDHR), </w:t>
      </w:r>
      <w:r w:rsidRPr="00B21764">
        <w:rPr>
          <w:rFonts w:ascii="Times New Roman" w:eastAsia="Times New Roman" w:hAnsi="Times New Roman" w:cs="Times New Roman"/>
          <w:color w:val="000000"/>
          <w:sz w:val="24"/>
          <w:szCs w:val="24"/>
          <w:lang w:eastAsia="en-ZA"/>
        </w:rPr>
        <w:t xml:space="preserve">and the </w:t>
      </w:r>
      <w:bookmarkStart w:id="0" w:name="_GoBack"/>
      <w:bookmarkEnd w:id="0"/>
      <w:r w:rsidRPr="00B21764">
        <w:rPr>
          <w:rFonts w:ascii="Times New Roman" w:eastAsia="Times New Roman" w:hAnsi="Times New Roman" w:cs="Times New Roman"/>
          <w:i/>
          <w:iCs/>
          <w:color w:val="000000"/>
          <w:sz w:val="24"/>
          <w:szCs w:val="24"/>
          <w:lang w:eastAsia="en-ZA"/>
        </w:rPr>
        <w:t>International Covenant on Civil and Political Rights (ICCPR);</w:t>
      </w:r>
    </w:p>
    <w:p w:rsidR="00B21764" w:rsidRPr="00B21764" w:rsidRDefault="00B21764" w:rsidP="00B21764">
      <w:pPr>
        <w:spacing w:after="0" w:line="240" w:lineRule="auto"/>
        <w:rPr>
          <w:rFonts w:ascii="Times New Roman" w:eastAsia="Times New Roman" w:hAnsi="Times New Roman" w:cs="Times New Roman"/>
          <w:sz w:val="24"/>
          <w:szCs w:val="24"/>
          <w:lang w:eastAsia="en-ZA"/>
        </w:rPr>
      </w:pPr>
    </w:p>
    <w:p w:rsidR="00B21764" w:rsidRPr="00B21764" w:rsidRDefault="00B21764" w:rsidP="00B21764">
      <w:pPr>
        <w:spacing w:after="0" w:line="240" w:lineRule="auto"/>
        <w:ind w:left="477" w:right="878"/>
        <w:jc w:val="both"/>
        <w:rPr>
          <w:rFonts w:ascii="Times New Roman" w:eastAsia="Times New Roman" w:hAnsi="Times New Roman" w:cs="Times New Roman"/>
          <w:sz w:val="24"/>
          <w:szCs w:val="24"/>
          <w:lang w:eastAsia="en-ZA"/>
        </w:rPr>
      </w:pPr>
      <w:r w:rsidRPr="00B21764">
        <w:rPr>
          <w:rFonts w:ascii="Times New Roman" w:eastAsia="Times New Roman" w:hAnsi="Times New Roman" w:cs="Times New Roman"/>
          <w:b/>
          <w:bCs/>
          <w:i/>
          <w:iCs/>
          <w:color w:val="000000"/>
          <w:sz w:val="24"/>
          <w:szCs w:val="24"/>
          <w:lang w:eastAsia="en-ZA"/>
        </w:rPr>
        <w:t xml:space="preserve">Underlining </w:t>
      </w:r>
      <w:r w:rsidRPr="00B21764">
        <w:rPr>
          <w:rFonts w:ascii="Times New Roman" w:eastAsia="Times New Roman" w:hAnsi="Times New Roman" w:cs="Times New Roman"/>
          <w:color w:val="000000"/>
          <w:sz w:val="24"/>
          <w:szCs w:val="24"/>
          <w:lang w:eastAsia="en-ZA"/>
        </w:rPr>
        <w:t>that access to information is essential for the recognition and achievement of every person’s civil, political and socio-economic rights, and as a mechanism to promote democratic accountability, and good governance;</w:t>
      </w:r>
    </w:p>
    <w:p w:rsidR="00B21764" w:rsidRPr="00B21764" w:rsidRDefault="00B21764" w:rsidP="00B21764">
      <w:pPr>
        <w:spacing w:after="0" w:line="240" w:lineRule="auto"/>
        <w:rPr>
          <w:rFonts w:ascii="Times New Roman" w:eastAsia="Times New Roman" w:hAnsi="Times New Roman" w:cs="Times New Roman"/>
          <w:sz w:val="24"/>
          <w:szCs w:val="24"/>
          <w:lang w:eastAsia="en-ZA"/>
        </w:rPr>
      </w:pPr>
    </w:p>
    <w:p w:rsidR="00B21764" w:rsidRPr="00B21764" w:rsidRDefault="00B21764" w:rsidP="00B21764">
      <w:pPr>
        <w:spacing w:after="0" w:line="240" w:lineRule="auto"/>
        <w:ind w:left="477" w:right="874"/>
        <w:jc w:val="both"/>
        <w:rPr>
          <w:rFonts w:ascii="Times New Roman" w:eastAsia="Times New Roman" w:hAnsi="Times New Roman" w:cs="Times New Roman"/>
          <w:sz w:val="24"/>
          <w:szCs w:val="24"/>
          <w:lang w:eastAsia="en-ZA"/>
        </w:rPr>
      </w:pPr>
      <w:r w:rsidRPr="00B21764">
        <w:rPr>
          <w:rFonts w:ascii="Times New Roman" w:eastAsia="Times New Roman" w:hAnsi="Times New Roman" w:cs="Times New Roman"/>
          <w:b/>
          <w:bCs/>
          <w:i/>
          <w:iCs/>
          <w:color w:val="000000"/>
          <w:sz w:val="24"/>
          <w:szCs w:val="24"/>
          <w:lang w:eastAsia="en-ZA"/>
        </w:rPr>
        <w:t xml:space="preserve">Recalling </w:t>
      </w:r>
      <w:r w:rsidRPr="00B21764">
        <w:rPr>
          <w:rFonts w:ascii="Times New Roman" w:eastAsia="Times New Roman" w:hAnsi="Times New Roman" w:cs="Times New Roman"/>
          <w:b/>
          <w:bCs/>
          <w:color w:val="000000"/>
          <w:sz w:val="24"/>
          <w:szCs w:val="24"/>
          <w:lang w:eastAsia="en-ZA"/>
        </w:rPr>
        <w:t xml:space="preserve">Resolution ACHPR/Res.62 (XXXII) 02 </w:t>
      </w:r>
      <w:r w:rsidRPr="00B21764">
        <w:rPr>
          <w:rFonts w:ascii="Times New Roman" w:eastAsia="Times New Roman" w:hAnsi="Times New Roman" w:cs="Times New Roman"/>
          <w:color w:val="000000"/>
          <w:sz w:val="24"/>
          <w:szCs w:val="24"/>
          <w:lang w:eastAsia="en-ZA"/>
        </w:rPr>
        <w:t xml:space="preserve">on the adoption of the </w:t>
      </w:r>
      <w:r w:rsidRPr="00B21764">
        <w:rPr>
          <w:rFonts w:ascii="Times New Roman" w:eastAsia="Times New Roman" w:hAnsi="Times New Roman" w:cs="Times New Roman"/>
          <w:i/>
          <w:iCs/>
          <w:color w:val="000000"/>
          <w:sz w:val="24"/>
          <w:szCs w:val="24"/>
          <w:lang w:eastAsia="en-ZA"/>
        </w:rPr>
        <w:t xml:space="preserve">Declaration of Principles on Freedom of Expression in Africa (the Declaration) </w:t>
      </w:r>
      <w:r w:rsidRPr="00B21764">
        <w:rPr>
          <w:rFonts w:ascii="Times New Roman" w:eastAsia="Times New Roman" w:hAnsi="Times New Roman" w:cs="Times New Roman"/>
          <w:color w:val="000000"/>
          <w:sz w:val="24"/>
          <w:szCs w:val="24"/>
          <w:lang w:eastAsia="en-ZA"/>
        </w:rPr>
        <w:t xml:space="preserve">of 2002, which elaborates on the scope of Article 9 of the </w:t>
      </w:r>
      <w:r w:rsidRPr="00B21764">
        <w:rPr>
          <w:rFonts w:ascii="Times New Roman" w:eastAsia="Times New Roman" w:hAnsi="Times New Roman" w:cs="Times New Roman"/>
          <w:i/>
          <w:iCs/>
          <w:color w:val="000000"/>
          <w:sz w:val="24"/>
          <w:szCs w:val="24"/>
          <w:lang w:eastAsia="en-ZA"/>
        </w:rPr>
        <w:t>African Charter</w:t>
      </w:r>
      <w:r w:rsidRPr="00B21764">
        <w:rPr>
          <w:rFonts w:ascii="Times New Roman" w:eastAsia="Times New Roman" w:hAnsi="Times New Roman" w:cs="Times New Roman"/>
          <w:color w:val="000000"/>
          <w:sz w:val="24"/>
          <w:szCs w:val="24"/>
          <w:lang w:eastAsia="en-ZA"/>
        </w:rPr>
        <w:t>;</w:t>
      </w:r>
    </w:p>
    <w:p w:rsidR="00B21764" w:rsidRPr="00B21764" w:rsidRDefault="00B21764" w:rsidP="00B21764">
      <w:pPr>
        <w:spacing w:after="0" w:line="240" w:lineRule="auto"/>
        <w:rPr>
          <w:rFonts w:ascii="Times New Roman" w:eastAsia="Times New Roman" w:hAnsi="Times New Roman" w:cs="Times New Roman"/>
          <w:sz w:val="24"/>
          <w:szCs w:val="24"/>
          <w:lang w:eastAsia="en-ZA"/>
        </w:rPr>
      </w:pPr>
    </w:p>
    <w:p w:rsidR="00B21764" w:rsidRPr="00B21764" w:rsidRDefault="00B21764" w:rsidP="00B21764">
      <w:pPr>
        <w:spacing w:after="0" w:line="240" w:lineRule="auto"/>
        <w:ind w:left="477" w:right="873"/>
        <w:jc w:val="both"/>
        <w:rPr>
          <w:rFonts w:ascii="Times New Roman" w:eastAsia="Times New Roman" w:hAnsi="Times New Roman" w:cs="Times New Roman"/>
          <w:sz w:val="24"/>
          <w:szCs w:val="24"/>
          <w:lang w:eastAsia="en-ZA"/>
        </w:rPr>
      </w:pPr>
      <w:r w:rsidRPr="00B21764">
        <w:rPr>
          <w:rFonts w:ascii="Times New Roman" w:eastAsia="Times New Roman" w:hAnsi="Times New Roman" w:cs="Times New Roman"/>
          <w:b/>
          <w:bCs/>
          <w:i/>
          <w:iCs/>
          <w:color w:val="000000"/>
          <w:sz w:val="24"/>
          <w:szCs w:val="24"/>
          <w:lang w:eastAsia="en-ZA"/>
        </w:rPr>
        <w:t xml:space="preserve">Underscoring </w:t>
      </w:r>
      <w:r w:rsidRPr="00B21764">
        <w:rPr>
          <w:rFonts w:ascii="Times New Roman" w:eastAsia="Times New Roman" w:hAnsi="Times New Roman" w:cs="Times New Roman"/>
          <w:color w:val="000000"/>
          <w:sz w:val="24"/>
          <w:szCs w:val="24"/>
          <w:lang w:eastAsia="en-ZA"/>
        </w:rPr>
        <w:t>Principle IV (1) of the Declaration, which provides that “</w:t>
      </w:r>
      <w:r w:rsidRPr="00B21764">
        <w:rPr>
          <w:rFonts w:ascii="Times New Roman" w:eastAsia="Times New Roman" w:hAnsi="Times New Roman" w:cs="Times New Roman"/>
          <w:i/>
          <w:iCs/>
          <w:color w:val="000000"/>
          <w:sz w:val="24"/>
          <w:szCs w:val="24"/>
          <w:lang w:eastAsia="en-ZA"/>
        </w:rPr>
        <w:t>public bodies hold information not for themselves but as custodians of the public good and everyone has a right to access this information, subject only to clearly defined rules established by law</w:t>
      </w:r>
      <w:r w:rsidRPr="00B21764">
        <w:rPr>
          <w:rFonts w:ascii="Times New Roman" w:eastAsia="Times New Roman" w:hAnsi="Times New Roman" w:cs="Times New Roman"/>
          <w:color w:val="000000"/>
          <w:sz w:val="24"/>
          <w:szCs w:val="24"/>
          <w:lang w:eastAsia="en-ZA"/>
        </w:rPr>
        <w:t>,” and Principle IV (2) which stipulates that “</w:t>
      </w:r>
      <w:r w:rsidRPr="00B21764">
        <w:rPr>
          <w:rFonts w:ascii="Times New Roman" w:eastAsia="Times New Roman" w:hAnsi="Times New Roman" w:cs="Times New Roman"/>
          <w:i/>
          <w:iCs/>
          <w:color w:val="000000"/>
          <w:sz w:val="24"/>
          <w:szCs w:val="24"/>
          <w:lang w:eastAsia="en-ZA"/>
        </w:rPr>
        <w:t>the right to information shall be guaranteed by law in accordance with the principles</w:t>
      </w:r>
      <w:r w:rsidRPr="00B21764">
        <w:rPr>
          <w:rFonts w:ascii="Times New Roman" w:eastAsia="Times New Roman" w:hAnsi="Times New Roman" w:cs="Times New Roman"/>
          <w:color w:val="000000"/>
          <w:sz w:val="24"/>
          <w:szCs w:val="24"/>
          <w:lang w:eastAsia="en-ZA"/>
        </w:rPr>
        <w:t>” set out in the Declaration;</w:t>
      </w:r>
    </w:p>
    <w:p w:rsidR="00B21764" w:rsidRPr="00B21764" w:rsidRDefault="00B21764" w:rsidP="00B21764">
      <w:pPr>
        <w:spacing w:after="0" w:line="240" w:lineRule="auto"/>
        <w:rPr>
          <w:rFonts w:ascii="Times New Roman" w:eastAsia="Times New Roman" w:hAnsi="Times New Roman" w:cs="Times New Roman"/>
          <w:sz w:val="24"/>
          <w:szCs w:val="24"/>
          <w:lang w:eastAsia="en-ZA"/>
        </w:rPr>
      </w:pPr>
    </w:p>
    <w:p w:rsidR="00B21764" w:rsidRPr="00B21764" w:rsidRDefault="00B21764" w:rsidP="00B21764">
      <w:pPr>
        <w:spacing w:after="0" w:line="240" w:lineRule="auto"/>
        <w:ind w:left="477" w:right="873"/>
        <w:jc w:val="both"/>
        <w:rPr>
          <w:rFonts w:ascii="Times New Roman" w:eastAsia="Times New Roman" w:hAnsi="Times New Roman" w:cs="Times New Roman"/>
          <w:sz w:val="24"/>
          <w:szCs w:val="24"/>
          <w:lang w:eastAsia="en-ZA"/>
        </w:rPr>
      </w:pPr>
      <w:r w:rsidRPr="00B21764">
        <w:rPr>
          <w:rFonts w:ascii="Times New Roman" w:eastAsia="Times New Roman" w:hAnsi="Times New Roman" w:cs="Times New Roman"/>
          <w:b/>
          <w:bCs/>
          <w:i/>
          <w:iCs/>
          <w:color w:val="000000"/>
          <w:sz w:val="24"/>
          <w:szCs w:val="24"/>
          <w:lang w:eastAsia="en-ZA"/>
        </w:rPr>
        <w:t xml:space="preserve">Recalling </w:t>
      </w:r>
      <w:r w:rsidRPr="00B21764">
        <w:rPr>
          <w:rFonts w:ascii="Times New Roman" w:eastAsia="Times New Roman" w:hAnsi="Times New Roman" w:cs="Times New Roman"/>
          <w:color w:val="000000"/>
          <w:sz w:val="24"/>
          <w:szCs w:val="24"/>
          <w:lang w:eastAsia="en-ZA"/>
        </w:rPr>
        <w:t xml:space="preserve">Resolution </w:t>
      </w:r>
      <w:r w:rsidRPr="00B21764">
        <w:rPr>
          <w:rFonts w:ascii="Times New Roman" w:eastAsia="Times New Roman" w:hAnsi="Times New Roman" w:cs="Times New Roman"/>
          <w:b/>
          <w:bCs/>
          <w:color w:val="000000"/>
          <w:sz w:val="24"/>
          <w:szCs w:val="24"/>
          <w:lang w:eastAsia="en-ZA"/>
        </w:rPr>
        <w:t>ACHPR/Res.122 (XXXXII) 07</w:t>
      </w:r>
      <w:r w:rsidRPr="00B21764">
        <w:rPr>
          <w:rFonts w:ascii="Times New Roman" w:eastAsia="Times New Roman" w:hAnsi="Times New Roman" w:cs="Times New Roman"/>
          <w:color w:val="000000"/>
          <w:sz w:val="24"/>
          <w:szCs w:val="24"/>
          <w:lang w:eastAsia="en-ZA"/>
        </w:rPr>
        <w:t>, adopted during its 42</w:t>
      </w:r>
      <w:r w:rsidRPr="00B21764">
        <w:rPr>
          <w:rFonts w:ascii="Times New Roman" w:eastAsia="Times New Roman" w:hAnsi="Times New Roman" w:cs="Times New Roman"/>
          <w:color w:val="000000"/>
          <w:sz w:val="14"/>
          <w:szCs w:val="14"/>
          <w:vertAlign w:val="superscript"/>
          <w:lang w:eastAsia="en-ZA"/>
        </w:rPr>
        <w:t>nd</w:t>
      </w:r>
      <w:r w:rsidRPr="00B21764">
        <w:rPr>
          <w:rFonts w:ascii="Times New Roman" w:eastAsia="Times New Roman" w:hAnsi="Times New Roman" w:cs="Times New Roman"/>
          <w:color w:val="000000"/>
          <w:sz w:val="24"/>
          <w:szCs w:val="24"/>
          <w:lang w:eastAsia="en-ZA"/>
        </w:rPr>
        <w:t xml:space="preserve"> Ordinary Session held from 15 to 28 November 2007, in Brazzaville, Republic of Congo, which expanded the mandate of the Special Rapporteur on Freedom of Expression in Africa (the Special Rapporteur) to include access to information;</w:t>
      </w:r>
    </w:p>
    <w:p w:rsidR="00B21764" w:rsidRPr="00B21764" w:rsidRDefault="00B21764" w:rsidP="00B21764">
      <w:pPr>
        <w:spacing w:after="0" w:line="240" w:lineRule="auto"/>
        <w:rPr>
          <w:rFonts w:ascii="Times New Roman" w:eastAsia="Times New Roman" w:hAnsi="Times New Roman" w:cs="Times New Roman"/>
          <w:sz w:val="24"/>
          <w:szCs w:val="24"/>
          <w:lang w:eastAsia="en-ZA"/>
        </w:rPr>
      </w:pPr>
    </w:p>
    <w:p w:rsidR="00B21764" w:rsidRPr="00B21764" w:rsidRDefault="00B21764" w:rsidP="00B21764">
      <w:pPr>
        <w:spacing w:after="0" w:line="240" w:lineRule="auto"/>
        <w:ind w:left="477" w:right="874"/>
        <w:jc w:val="both"/>
        <w:rPr>
          <w:rFonts w:ascii="Times New Roman" w:eastAsia="Times New Roman" w:hAnsi="Times New Roman" w:cs="Times New Roman"/>
          <w:sz w:val="24"/>
          <w:szCs w:val="24"/>
          <w:lang w:eastAsia="en-ZA"/>
        </w:rPr>
      </w:pPr>
      <w:r w:rsidRPr="00B21764">
        <w:rPr>
          <w:rFonts w:ascii="Times New Roman" w:eastAsia="Times New Roman" w:hAnsi="Times New Roman" w:cs="Times New Roman"/>
          <w:b/>
          <w:bCs/>
          <w:i/>
          <w:iCs/>
          <w:color w:val="000000"/>
          <w:sz w:val="24"/>
          <w:szCs w:val="24"/>
          <w:lang w:eastAsia="en-ZA"/>
        </w:rPr>
        <w:t xml:space="preserve">Noting </w:t>
      </w:r>
      <w:r w:rsidRPr="00B21764">
        <w:rPr>
          <w:rFonts w:ascii="Times New Roman" w:eastAsia="Times New Roman" w:hAnsi="Times New Roman" w:cs="Times New Roman"/>
          <w:b/>
          <w:bCs/>
          <w:color w:val="000000"/>
          <w:sz w:val="24"/>
          <w:szCs w:val="24"/>
          <w:lang w:eastAsia="en-ZA"/>
        </w:rPr>
        <w:t xml:space="preserve">ACHPR/Res.167 (XLVIII) 10: </w:t>
      </w:r>
      <w:r w:rsidRPr="00B21764">
        <w:rPr>
          <w:rFonts w:ascii="Times New Roman" w:eastAsia="Times New Roman" w:hAnsi="Times New Roman" w:cs="Times New Roman"/>
          <w:color w:val="000000"/>
          <w:sz w:val="24"/>
          <w:szCs w:val="24"/>
          <w:lang w:eastAsia="en-ZA"/>
        </w:rPr>
        <w:t>Resolution on Securing the Effective Realization of Access to Information in Africa adopted during its 48</w:t>
      </w:r>
      <w:r w:rsidRPr="00B21764">
        <w:rPr>
          <w:rFonts w:ascii="Times New Roman" w:eastAsia="Times New Roman" w:hAnsi="Times New Roman" w:cs="Times New Roman"/>
          <w:color w:val="000000"/>
          <w:sz w:val="14"/>
          <w:szCs w:val="14"/>
          <w:vertAlign w:val="superscript"/>
          <w:lang w:eastAsia="en-ZA"/>
        </w:rPr>
        <w:t>th</w:t>
      </w:r>
      <w:r w:rsidRPr="00B21764">
        <w:rPr>
          <w:rFonts w:ascii="Times New Roman" w:eastAsia="Times New Roman" w:hAnsi="Times New Roman" w:cs="Times New Roman"/>
          <w:color w:val="000000"/>
          <w:sz w:val="24"/>
          <w:szCs w:val="24"/>
          <w:lang w:eastAsia="en-ZA"/>
        </w:rPr>
        <w:t xml:space="preserve"> Ordinary Session, held in Banjul, The Gambia, from 10 to 24 November 2010, which authorised the Special Rapporteur to develop a Model Law on Access to Information for African Union (AU) Member States to assist them in formulating, adopting or reviewing access to information legislations and their implementation;</w:t>
      </w:r>
    </w:p>
    <w:p w:rsidR="00B21764" w:rsidRPr="00B21764" w:rsidRDefault="00B21764" w:rsidP="00B21764">
      <w:pPr>
        <w:spacing w:after="0" w:line="240" w:lineRule="auto"/>
        <w:rPr>
          <w:rFonts w:ascii="Times New Roman" w:eastAsia="Times New Roman" w:hAnsi="Times New Roman" w:cs="Times New Roman"/>
          <w:sz w:val="24"/>
          <w:szCs w:val="24"/>
          <w:lang w:eastAsia="en-ZA"/>
        </w:rPr>
      </w:pPr>
    </w:p>
    <w:p w:rsidR="00B21764" w:rsidRPr="00B21764" w:rsidRDefault="00B21764" w:rsidP="00B21764">
      <w:pPr>
        <w:spacing w:after="0" w:line="240" w:lineRule="auto"/>
        <w:ind w:left="477" w:right="876"/>
        <w:jc w:val="both"/>
        <w:rPr>
          <w:rFonts w:ascii="Times New Roman" w:eastAsia="Times New Roman" w:hAnsi="Times New Roman" w:cs="Times New Roman"/>
          <w:sz w:val="24"/>
          <w:szCs w:val="24"/>
          <w:lang w:eastAsia="en-ZA"/>
        </w:rPr>
      </w:pPr>
      <w:r w:rsidRPr="00B21764">
        <w:rPr>
          <w:rFonts w:ascii="Times New Roman" w:eastAsia="Times New Roman" w:hAnsi="Times New Roman" w:cs="Times New Roman"/>
          <w:b/>
          <w:bCs/>
          <w:i/>
          <w:iCs/>
          <w:color w:val="000000"/>
          <w:sz w:val="24"/>
          <w:szCs w:val="24"/>
          <w:lang w:eastAsia="en-ZA"/>
        </w:rPr>
        <w:t xml:space="preserve">Noting further </w:t>
      </w:r>
      <w:r w:rsidRPr="00B21764">
        <w:rPr>
          <w:rFonts w:ascii="Times New Roman" w:eastAsia="Times New Roman" w:hAnsi="Times New Roman" w:cs="Times New Roman"/>
          <w:color w:val="000000"/>
          <w:sz w:val="24"/>
          <w:szCs w:val="24"/>
          <w:lang w:eastAsia="en-ZA"/>
        </w:rPr>
        <w:t>the African Platform on Access to Information adopted by the Pan African Conference on Access to Information held from 17 to 19 September 2011 in Cape Town, South Africa;</w:t>
      </w:r>
    </w:p>
    <w:p w:rsidR="00B21764" w:rsidRPr="00B21764" w:rsidRDefault="00B21764" w:rsidP="00B21764">
      <w:pPr>
        <w:spacing w:after="0" w:line="240" w:lineRule="auto"/>
        <w:ind w:left="477" w:right="876"/>
        <w:jc w:val="both"/>
        <w:rPr>
          <w:rFonts w:ascii="Times New Roman" w:eastAsia="Times New Roman" w:hAnsi="Times New Roman" w:cs="Times New Roman"/>
          <w:sz w:val="24"/>
          <w:szCs w:val="24"/>
          <w:lang w:eastAsia="en-ZA"/>
        </w:rPr>
      </w:pPr>
      <w:r w:rsidRPr="00B21764">
        <w:rPr>
          <w:rFonts w:ascii="Times New Roman" w:eastAsia="Times New Roman" w:hAnsi="Times New Roman" w:cs="Times New Roman"/>
          <w:b/>
          <w:bCs/>
          <w:i/>
          <w:iCs/>
          <w:color w:val="000000"/>
          <w:sz w:val="24"/>
          <w:szCs w:val="24"/>
          <w:lang w:eastAsia="en-ZA"/>
        </w:rPr>
        <w:lastRenderedPageBreak/>
        <w:t xml:space="preserve">Convinced </w:t>
      </w:r>
      <w:r w:rsidRPr="00B21764">
        <w:rPr>
          <w:rFonts w:ascii="Times New Roman" w:eastAsia="Times New Roman" w:hAnsi="Times New Roman" w:cs="Times New Roman"/>
          <w:color w:val="000000"/>
          <w:sz w:val="24"/>
          <w:szCs w:val="24"/>
          <w:lang w:eastAsia="en-ZA"/>
        </w:rPr>
        <w:t>that it is of critical importance that clear and comprehensive principles are established to guide the promotion and protection of the right of access to information in Africa through the adoption and effective implementation of appropriate national laws and regulations;</w:t>
      </w:r>
    </w:p>
    <w:p w:rsidR="00B21764" w:rsidRPr="00B21764" w:rsidRDefault="00B21764" w:rsidP="00B21764">
      <w:pPr>
        <w:spacing w:after="0" w:line="240" w:lineRule="auto"/>
        <w:rPr>
          <w:rFonts w:ascii="Times New Roman" w:eastAsia="Times New Roman" w:hAnsi="Times New Roman" w:cs="Times New Roman"/>
          <w:sz w:val="24"/>
          <w:szCs w:val="24"/>
          <w:lang w:eastAsia="en-ZA"/>
        </w:rPr>
      </w:pPr>
    </w:p>
    <w:p w:rsidR="00B21764" w:rsidRPr="00B21764" w:rsidRDefault="00B21764" w:rsidP="00B21764">
      <w:pPr>
        <w:spacing w:after="0" w:line="240" w:lineRule="auto"/>
        <w:ind w:left="477" w:right="878"/>
        <w:jc w:val="both"/>
        <w:rPr>
          <w:rFonts w:ascii="Times New Roman" w:eastAsia="Times New Roman" w:hAnsi="Times New Roman" w:cs="Times New Roman"/>
          <w:sz w:val="24"/>
          <w:szCs w:val="24"/>
          <w:lang w:eastAsia="en-ZA"/>
        </w:rPr>
      </w:pPr>
      <w:r w:rsidRPr="00B21764">
        <w:rPr>
          <w:rFonts w:ascii="Times New Roman" w:eastAsia="Times New Roman" w:hAnsi="Times New Roman" w:cs="Times New Roman"/>
          <w:b/>
          <w:bCs/>
          <w:i/>
          <w:iCs/>
          <w:color w:val="000000"/>
          <w:sz w:val="24"/>
          <w:szCs w:val="24"/>
          <w:lang w:eastAsia="en-ZA"/>
        </w:rPr>
        <w:t xml:space="preserve">Recognising </w:t>
      </w:r>
      <w:r w:rsidRPr="00B21764">
        <w:rPr>
          <w:rFonts w:ascii="Times New Roman" w:eastAsia="Times New Roman" w:hAnsi="Times New Roman" w:cs="Times New Roman"/>
          <w:color w:val="000000"/>
          <w:sz w:val="24"/>
          <w:szCs w:val="24"/>
          <w:lang w:eastAsia="en-ZA"/>
        </w:rPr>
        <w:t xml:space="preserve">the work of the African Union Commission(AUC) to give practical effect to the various instruments of the AU on freedom of expression and access to information, through such initiatives as the Pan African Media Network, the media </w:t>
      </w:r>
      <w:proofErr w:type="spellStart"/>
      <w:r w:rsidRPr="00B21764">
        <w:rPr>
          <w:rFonts w:ascii="Times New Roman" w:eastAsia="Times New Roman" w:hAnsi="Times New Roman" w:cs="Times New Roman"/>
          <w:color w:val="000000"/>
          <w:sz w:val="24"/>
          <w:szCs w:val="24"/>
          <w:lang w:eastAsia="en-ZA"/>
        </w:rPr>
        <w:t>center</w:t>
      </w:r>
      <w:proofErr w:type="spellEnd"/>
      <w:r w:rsidRPr="00B21764">
        <w:rPr>
          <w:rFonts w:ascii="Times New Roman" w:eastAsia="Times New Roman" w:hAnsi="Times New Roman" w:cs="Times New Roman"/>
          <w:color w:val="000000"/>
          <w:sz w:val="24"/>
          <w:szCs w:val="24"/>
          <w:lang w:eastAsia="en-ZA"/>
        </w:rPr>
        <w:t>, as well as its efforts to promote Information and Communications Technology (ICTs) in Africa;</w:t>
      </w:r>
    </w:p>
    <w:p w:rsidR="00B21764" w:rsidRPr="00B21764" w:rsidRDefault="00B21764" w:rsidP="00B21764">
      <w:pPr>
        <w:spacing w:after="0" w:line="240" w:lineRule="auto"/>
        <w:rPr>
          <w:rFonts w:ascii="Times New Roman" w:eastAsia="Times New Roman" w:hAnsi="Times New Roman" w:cs="Times New Roman"/>
          <w:sz w:val="24"/>
          <w:szCs w:val="24"/>
          <w:lang w:eastAsia="en-ZA"/>
        </w:rPr>
      </w:pPr>
    </w:p>
    <w:p w:rsidR="00B21764" w:rsidRPr="00B21764" w:rsidRDefault="00B21764" w:rsidP="00B21764">
      <w:pPr>
        <w:spacing w:after="0" w:line="240" w:lineRule="auto"/>
        <w:ind w:left="477" w:right="877"/>
        <w:jc w:val="both"/>
        <w:rPr>
          <w:rFonts w:ascii="Times New Roman" w:eastAsia="Times New Roman" w:hAnsi="Times New Roman" w:cs="Times New Roman"/>
          <w:sz w:val="24"/>
          <w:szCs w:val="24"/>
          <w:lang w:eastAsia="en-ZA"/>
        </w:rPr>
      </w:pPr>
      <w:r w:rsidRPr="00B21764">
        <w:rPr>
          <w:rFonts w:ascii="Times New Roman" w:eastAsia="Times New Roman" w:hAnsi="Times New Roman" w:cs="Times New Roman"/>
          <w:b/>
          <w:bCs/>
          <w:i/>
          <w:iCs/>
          <w:color w:val="000000"/>
          <w:sz w:val="24"/>
          <w:szCs w:val="24"/>
          <w:lang w:eastAsia="en-ZA"/>
        </w:rPr>
        <w:t xml:space="preserve">Underlining </w:t>
      </w:r>
      <w:r w:rsidRPr="00B21764">
        <w:rPr>
          <w:rFonts w:ascii="Times New Roman" w:eastAsia="Times New Roman" w:hAnsi="Times New Roman" w:cs="Times New Roman"/>
          <w:color w:val="000000"/>
          <w:sz w:val="24"/>
          <w:szCs w:val="24"/>
          <w:lang w:eastAsia="en-ZA"/>
        </w:rPr>
        <w:t>the importance of setting aside a day to commemorate access to information as a way to raise awareness and emphasise the importance of this right, and promote the ideals of good governance and accountability;</w:t>
      </w:r>
    </w:p>
    <w:p w:rsidR="00B21764" w:rsidRPr="00B21764" w:rsidRDefault="00B21764" w:rsidP="00B21764">
      <w:pPr>
        <w:spacing w:after="0" w:line="240" w:lineRule="auto"/>
        <w:rPr>
          <w:rFonts w:ascii="Times New Roman" w:eastAsia="Times New Roman" w:hAnsi="Times New Roman" w:cs="Times New Roman"/>
          <w:sz w:val="24"/>
          <w:szCs w:val="24"/>
          <w:lang w:eastAsia="en-ZA"/>
        </w:rPr>
      </w:pPr>
    </w:p>
    <w:p w:rsidR="00B21764" w:rsidRPr="00B21764" w:rsidRDefault="00B21764" w:rsidP="00B21764">
      <w:pPr>
        <w:spacing w:after="0" w:line="240" w:lineRule="auto"/>
        <w:ind w:left="477" w:right="877"/>
        <w:jc w:val="both"/>
        <w:rPr>
          <w:rFonts w:ascii="Times New Roman" w:eastAsia="Times New Roman" w:hAnsi="Times New Roman" w:cs="Times New Roman"/>
          <w:sz w:val="24"/>
          <w:szCs w:val="24"/>
          <w:lang w:eastAsia="en-ZA"/>
        </w:rPr>
      </w:pPr>
      <w:r w:rsidRPr="00B21764">
        <w:rPr>
          <w:rFonts w:ascii="Times New Roman" w:eastAsia="Times New Roman" w:hAnsi="Times New Roman" w:cs="Times New Roman"/>
          <w:b/>
          <w:bCs/>
          <w:i/>
          <w:iCs/>
          <w:color w:val="000000"/>
          <w:sz w:val="24"/>
          <w:szCs w:val="24"/>
          <w:lang w:eastAsia="en-ZA"/>
        </w:rPr>
        <w:t xml:space="preserve">Acknowledging </w:t>
      </w:r>
      <w:r w:rsidRPr="00B21764">
        <w:rPr>
          <w:rFonts w:ascii="Times New Roman" w:eastAsia="Times New Roman" w:hAnsi="Times New Roman" w:cs="Times New Roman"/>
          <w:color w:val="000000"/>
          <w:sz w:val="24"/>
          <w:szCs w:val="24"/>
          <w:lang w:eastAsia="en-ZA"/>
        </w:rPr>
        <w:t>that civil society organisations and government bodies around the world have adopted 28 September as ‘International Right to Know Day;</w:t>
      </w:r>
    </w:p>
    <w:p w:rsidR="00B21764" w:rsidRPr="00B21764" w:rsidRDefault="00B21764" w:rsidP="00B21764">
      <w:pPr>
        <w:spacing w:after="0" w:line="240" w:lineRule="auto"/>
        <w:rPr>
          <w:rFonts w:ascii="Times New Roman" w:eastAsia="Times New Roman" w:hAnsi="Times New Roman" w:cs="Times New Roman"/>
          <w:sz w:val="24"/>
          <w:szCs w:val="24"/>
          <w:lang w:eastAsia="en-ZA"/>
        </w:rPr>
      </w:pPr>
    </w:p>
    <w:p w:rsidR="00B21764" w:rsidRPr="00B21764" w:rsidRDefault="00B21764" w:rsidP="00B21764">
      <w:pPr>
        <w:spacing w:before="1" w:after="0" w:line="240" w:lineRule="auto"/>
        <w:ind w:left="1723" w:right="878" w:hanging="283"/>
        <w:jc w:val="both"/>
        <w:textAlignment w:val="baseline"/>
        <w:rPr>
          <w:rFonts w:ascii="Times New Roman" w:eastAsia="Times New Roman" w:hAnsi="Times New Roman" w:cs="Times New Roman"/>
          <w:i/>
          <w:iCs/>
          <w:color w:val="000000"/>
          <w:sz w:val="24"/>
          <w:szCs w:val="24"/>
          <w:lang w:eastAsia="en-ZA"/>
        </w:rPr>
      </w:pPr>
      <w:proofErr w:type="spellStart"/>
      <w:r w:rsidRPr="00B21764">
        <w:rPr>
          <w:rFonts w:ascii="Times New Roman" w:eastAsia="Times New Roman" w:hAnsi="Times New Roman" w:cs="Times New Roman"/>
          <w:i/>
          <w:iCs/>
          <w:color w:val="000000"/>
          <w:sz w:val="24"/>
          <w:szCs w:val="24"/>
          <w:lang w:eastAsia="en-ZA"/>
        </w:rPr>
        <w:t>i</w:t>
      </w:r>
      <w:proofErr w:type="spellEnd"/>
      <w:r w:rsidRPr="00B21764">
        <w:rPr>
          <w:rFonts w:ascii="Times New Roman" w:eastAsia="Times New Roman" w:hAnsi="Times New Roman" w:cs="Times New Roman"/>
          <w:i/>
          <w:iCs/>
          <w:color w:val="000000"/>
          <w:sz w:val="24"/>
          <w:szCs w:val="24"/>
          <w:lang w:eastAsia="en-ZA"/>
        </w:rPr>
        <w:t>.</w:t>
      </w:r>
      <w:r w:rsidRPr="00B21764">
        <w:rPr>
          <w:rFonts w:ascii="Times New Roman" w:eastAsia="Times New Roman" w:hAnsi="Times New Roman" w:cs="Times New Roman"/>
          <w:i/>
          <w:iCs/>
          <w:color w:val="000000"/>
          <w:sz w:val="24"/>
          <w:szCs w:val="24"/>
          <w:lang w:eastAsia="en-ZA"/>
        </w:rPr>
        <w:tab/>
      </w:r>
      <w:r w:rsidRPr="00B21764">
        <w:rPr>
          <w:rFonts w:ascii="Times New Roman" w:eastAsia="Times New Roman" w:hAnsi="Times New Roman" w:cs="Times New Roman"/>
          <w:b/>
          <w:bCs/>
          <w:i/>
          <w:iCs/>
          <w:color w:val="000000"/>
          <w:sz w:val="24"/>
          <w:szCs w:val="24"/>
          <w:lang w:eastAsia="en-ZA"/>
        </w:rPr>
        <w:t xml:space="preserve">Authorises </w:t>
      </w:r>
      <w:r w:rsidRPr="00B21764">
        <w:rPr>
          <w:rFonts w:ascii="Times New Roman" w:eastAsia="Times New Roman" w:hAnsi="Times New Roman" w:cs="Times New Roman"/>
          <w:color w:val="000000"/>
          <w:sz w:val="24"/>
          <w:szCs w:val="24"/>
          <w:lang w:eastAsia="en-ZA"/>
        </w:rPr>
        <w:t>the Special Rapporteur to initiate the process of expanding Article IV of the Declaration of Principles on Freedom of Expression in Africa to include access to information;</w:t>
      </w:r>
    </w:p>
    <w:p w:rsidR="00B21764" w:rsidRPr="00B21764" w:rsidRDefault="00B21764" w:rsidP="00B21764">
      <w:pPr>
        <w:spacing w:after="0" w:line="240" w:lineRule="auto"/>
        <w:rPr>
          <w:rFonts w:ascii="Times New Roman" w:eastAsia="Times New Roman" w:hAnsi="Times New Roman" w:cs="Times New Roman"/>
          <w:sz w:val="24"/>
          <w:szCs w:val="24"/>
          <w:lang w:eastAsia="en-ZA"/>
        </w:rPr>
      </w:pPr>
    </w:p>
    <w:p w:rsidR="00B21764" w:rsidRPr="00B21764" w:rsidRDefault="00B21764" w:rsidP="00B21764">
      <w:pPr>
        <w:tabs>
          <w:tab w:val="left" w:pos="720"/>
        </w:tabs>
        <w:spacing w:before="1" w:after="0" w:line="240" w:lineRule="auto"/>
        <w:ind w:left="1723" w:right="876" w:hanging="360"/>
        <w:jc w:val="both"/>
        <w:textAlignment w:val="baseline"/>
        <w:rPr>
          <w:rFonts w:ascii="Times New Roman" w:eastAsia="Times New Roman" w:hAnsi="Times New Roman" w:cs="Times New Roman"/>
          <w:color w:val="000000"/>
          <w:sz w:val="24"/>
          <w:szCs w:val="24"/>
          <w:lang w:eastAsia="en-ZA"/>
        </w:rPr>
      </w:pPr>
      <w:r w:rsidRPr="00B21764">
        <w:rPr>
          <w:rFonts w:ascii="Times New Roman" w:eastAsia="Times New Roman" w:hAnsi="Times New Roman" w:cs="Times New Roman"/>
          <w:color w:val="000000"/>
          <w:sz w:val="24"/>
          <w:szCs w:val="24"/>
          <w:lang w:eastAsia="en-ZA"/>
        </w:rPr>
        <w:t>ii.</w:t>
      </w:r>
      <w:r w:rsidRPr="00B21764">
        <w:rPr>
          <w:rFonts w:ascii="Times New Roman" w:eastAsia="Times New Roman" w:hAnsi="Times New Roman" w:cs="Times New Roman"/>
          <w:color w:val="000000"/>
          <w:sz w:val="24"/>
          <w:szCs w:val="24"/>
          <w:lang w:eastAsia="en-ZA"/>
        </w:rPr>
        <w:tab/>
      </w:r>
      <w:r w:rsidRPr="00B21764">
        <w:rPr>
          <w:rFonts w:ascii="Times New Roman" w:eastAsia="Times New Roman" w:hAnsi="Times New Roman" w:cs="Times New Roman"/>
          <w:b/>
          <w:bCs/>
          <w:i/>
          <w:iCs/>
          <w:color w:val="000000"/>
          <w:sz w:val="24"/>
          <w:szCs w:val="24"/>
          <w:lang w:eastAsia="en-ZA"/>
        </w:rPr>
        <w:t xml:space="preserve">Solemnly request </w:t>
      </w:r>
      <w:r w:rsidRPr="00B21764">
        <w:rPr>
          <w:rFonts w:ascii="Times New Roman" w:eastAsia="Times New Roman" w:hAnsi="Times New Roman" w:cs="Times New Roman"/>
          <w:color w:val="000000"/>
          <w:sz w:val="24"/>
          <w:szCs w:val="24"/>
          <w:lang w:eastAsia="en-ZA"/>
        </w:rPr>
        <w:t>the AU to consider proclaiming 28 September as International Right to Information Day in Africa;</w:t>
      </w:r>
    </w:p>
    <w:p w:rsidR="00B21764" w:rsidRPr="00B21764" w:rsidRDefault="00B21764" w:rsidP="00B21764">
      <w:pPr>
        <w:spacing w:after="0" w:line="240" w:lineRule="auto"/>
        <w:rPr>
          <w:rFonts w:ascii="Times New Roman" w:eastAsia="Times New Roman" w:hAnsi="Times New Roman" w:cs="Times New Roman"/>
          <w:sz w:val="24"/>
          <w:szCs w:val="24"/>
          <w:lang w:eastAsia="en-ZA"/>
        </w:rPr>
      </w:pPr>
    </w:p>
    <w:p w:rsidR="00B21764" w:rsidRPr="00B21764" w:rsidRDefault="00B21764" w:rsidP="00B21764">
      <w:pPr>
        <w:tabs>
          <w:tab w:val="left" w:pos="720"/>
        </w:tabs>
        <w:spacing w:after="0" w:line="240" w:lineRule="auto"/>
        <w:ind w:left="1656" w:right="877" w:hanging="360"/>
        <w:jc w:val="both"/>
        <w:textAlignment w:val="baseline"/>
        <w:rPr>
          <w:rFonts w:ascii="Times New Roman" w:eastAsia="Times New Roman" w:hAnsi="Times New Roman" w:cs="Times New Roman"/>
          <w:color w:val="000000"/>
          <w:sz w:val="24"/>
          <w:szCs w:val="24"/>
          <w:lang w:eastAsia="en-ZA"/>
        </w:rPr>
      </w:pPr>
      <w:r w:rsidRPr="00B21764">
        <w:rPr>
          <w:rFonts w:ascii="Times New Roman" w:eastAsia="Times New Roman" w:hAnsi="Times New Roman" w:cs="Times New Roman"/>
          <w:color w:val="000000"/>
          <w:sz w:val="24"/>
          <w:szCs w:val="24"/>
          <w:lang w:eastAsia="en-ZA"/>
        </w:rPr>
        <w:t>iii.</w:t>
      </w:r>
      <w:r w:rsidRPr="00B21764">
        <w:rPr>
          <w:rFonts w:ascii="Times New Roman" w:eastAsia="Times New Roman" w:hAnsi="Times New Roman" w:cs="Times New Roman"/>
          <w:color w:val="000000"/>
          <w:sz w:val="24"/>
          <w:szCs w:val="24"/>
          <w:lang w:eastAsia="en-ZA"/>
        </w:rPr>
        <w:tab/>
      </w:r>
      <w:r w:rsidRPr="00B21764">
        <w:rPr>
          <w:rFonts w:ascii="Times New Roman" w:eastAsia="Times New Roman" w:hAnsi="Times New Roman" w:cs="Times New Roman"/>
          <w:b/>
          <w:bCs/>
          <w:i/>
          <w:iCs/>
          <w:color w:val="000000"/>
          <w:sz w:val="24"/>
          <w:szCs w:val="24"/>
          <w:lang w:eastAsia="en-ZA"/>
        </w:rPr>
        <w:t xml:space="preserve">Calls </w:t>
      </w:r>
      <w:r w:rsidRPr="00B21764">
        <w:rPr>
          <w:rFonts w:ascii="Times New Roman" w:eastAsia="Times New Roman" w:hAnsi="Times New Roman" w:cs="Times New Roman"/>
          <w:color w:val="000000"/>
          <w:sz w:val="24"/>
          <w:szCs w:val="24"/>
          <w:lang w:eastAsia="en-ZA"/>
        </w:rPr>
        <w:t>on the AU to support the work of the Special Rapporteur by endorsing the Model Law on Access to Information following its adoption by the African Commission.</w:t>
      </w:r>
    </w:p>
    <w:p w:rsidR="00B21764" w:rsidRPr="00B21764" w:rsidRDefault="00B21764" w:rsidP="00B21764">
      <w:pPr>
        <w:spacing w:after="240" w:line="240" w:lineRule="auto"/>
        <w:rPr>
          <w:rFonts w:ascii="Times New Roman" w:eastAsia="Times New Roman" w:hAnsi="Times New Roman" w:cs="Times New Roman"/>
          <w:sz w:val="24"/>
          <w:szCs w:val="24"/>
          <w:lang w:eastAsia="en-ZA"/>
        </w:rPr>
      </w:pPr>
    </w:p>
    <w:p w:rsidR="00B21764" w:rsidRPr="00B21764" w:rsidRDefault="00B21764" w:rsidP="00B21764">
      <w:pPr>
        <w:spacing w:before="232" w:after="0" w:line="240" w:lineRule="auto"/>
        <w:ind w:left="516"/>
        <w:jc w:val="both"/>
        <w:outlineLvl w:val="3"/>
        <w:rPr>
          <w:rFonts w:ascii="Times New Roman" w:eastAsia="Times New Roman" w:hAnsi="Times New Roman" w:cs="Times New Roman"/>
          <w:b/>
          <w:bCs/>
          <w:sz w:val="24"/>
          <w:szCs w:val="24"/>
          <w:lang w:eastAsia="en-ZA"/>
        </w:rPr>
      </w:pPr>
      <w:r w:rsidRPr="00B21764">
        <w:rPr>
          <w:rFonts w:ascii="Times New Roman" w:eastAsia="Times New Roman" w:hAnsi="Times New Roman" w:cs="Times New Roman"/>
          <w:b/>
          <w:bCs/>
          <w:color w:val="000000"/>
          <w:sz w:val="24"/>
          <w:szCs w:val="24"/>
          <w:lang w:eastAsia="en-ZA"/>
        </w:rPr>
        <w:t xml:space="preserve">Done in Banjul, </w:t>
      </w:r>
      <w:proofErr w:type="gramStart"/>
      <w:r w:rsidRPr="00B21764">
        <w:rPr>
          <w:rFonts w:ascii="Times New Roman" w:eastAsia="Times New Roman" w:hAnsi="Times New Roman" w:cs="Times New Roman"/>
          <w:b/>
          <w:bCs/>
          <w:color w:val="000000"/>
          <w:sz w:val="24"/>
          <w:szCs w:val="24"/>
          <w:lang w:eastAsia="en-ZA"/>
        </w:rPr>
        <w:t>The</w:t>
      </w:r>
      <w:proofErr w:type="gramEnd"/>
      <w:r w:rsidRPr="00B21764">
        <w:rPr>
          <w:rFonts w:ascii="Times New Roman" w:eastAsia="Times New Roman" w:hAnsi="Times New Roman" w:cs="Times New Roman"/>
          <w:b/>
          <w:bCs/>
          <w:color w:val="000000"/>
          <w:sz w:val="24"/>
          <w:szCs w:val="24"/>
          <w:lang w:eastAsia="en-ZA"/>
        </w:rPr>
        <w:t xml:space="preserve"> Gambia, 2 May 2012</w:t>
      </w:r>
    </w:p>
    <w:p w:rsidR="00667D87" w:rsidRDefault="002D0AF8"/>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27511"/>
    <w:multiLevelType w:val="multilevel"/>
    <w:tmpl w:val="9ED8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D775AB"/>
    <w:multiLevelType w:val="hybridMultilevel"/>
    <w:tmpl w:val="0186D7B2"/>
    <w:lvl w:ilvl="0" w:tplc="7CF8C9F0">
      <w:start w:val="2"/>
      <w:numFmt w:val="lowerRoman"/>
      <w:lvlText w:val="%1."/>
      <w:lvlJc w:val="right"/>
      <w:pPr>
        <w:tabs>
          <w:tab w:val="num" w:pos="720"/>
        </w:tabs>
        <w:ind w:left="720" w:hanging="360"/>
      </w:pPr>
    </w:lvl>
    <w:lvl w:ilvl="1" w:tplc="A6C4451A" w:tentative="1">
      <w:start w:val="1"/>
      <w:numFmt w:val="decimal"/>
      <w:lvlText w:val="%2."/>
      <w:lvlJc w:val="left"/>
      <w:pPr>
        <w:tabs>
          <w:tab w:val="num" w:pos="1440"/>
        </w:tabs>
        <w:ind w:left="1440" w:hanging="360"/>
      </w:pPr>
    </w:lvl>
    <w:lvl w:ilvl="2" w:tplc="603AFC2A" w:tentative="1">
      <w:start w:val="1"/>
      <w:numFmt w:val="decimal"/>
      <w:lvlText w:val="%3."/>
      <w:lvlJc w:val="left"/>
      <w:pPr>
        <w:tabs>
          <w:tab w:val="num" w:pos="2160"/>
        </w:tabs>
        <w:ind w:left="2160" w:hanging="360"/>
      </w:pPr>
    </w:lvl>
    <w:lvl w:ilvl="3" w:tplc="9A425A18" w:tentative="1">
      <w:start w:val="1"/>
      <w:numFmt w:val="decimal"/>
      <w:lvlText w:val="%4."/>
      <w:lvlJc w:val="left"/>
      <w:pPr>
        <w:tabs>
          <w:tab w:val="num" w:pos="2880"/>
        </w:tabs>
        <w:ind w:left="2880" w:hanging="360"/>
      </w:pPr>
    </w:lvl>
    <w:lvl w:ilvl="4" w:tplc="D9A4045E" w:tentative="1">
      <w:start w:val="1"/>
      <w:numFmt w:val="decimal"/>
      <w:lvlText w:val="%5."/>
      <w:lvlJc w:val="left"/>
      <w:pPr>
        <w:tabs>
          <w:tab w:val="num" w:pos="3600"/>
        </w:tabs>
        <w:ind w:left="3600" w:hanging="360"/>
      </w:pPr>
    </w:lvl>
    <w:lvl w:ilvl="5" w:tplc="EF02B632" w:tentative="1">
      <w:start w:val="1"/>
      <w:numFmt w:val="decimal"/>
      <w:lvlText w:val="%6."/>
      <w:lvlJc w:val="left"/>
      <w:pPr>
        <w:tabs>
          <w:tab w:val="num" w:pos="4320"/>
        </w:tabs>
        <w:ind w:left="4320" w:hanging="360"/>
      </w:pPr>
    </w:lvl>
    <w:lvl w:ilvl="6" w:tplc="27A68E80" w:tentative="1">
      <w:start w:val="1"/>
      <w:numFmt w:val="decimal"/>
      <w:lvlText w:val="%7."/>
      <w:lvlJc w:val="left"/>
      <w:pPr>
        <w:tabs>
          <w:tab w:val="num" w:pos="5040"/>
        </w:tabs>
        <w:ind w:left="5040" w:hanging="360"/>
      </w:pPr>
    </w:lvl>
    <w:lvl w:ilvl="7" w:tplc="6BD06C56" w:tentative="1">
      <w:start w:val="1"/>
      <w:numFmt w:val="decimal"/>
      <w:lvlText w:val="%8."/>
      <w:lvlJc w:val="left"/>
      <w:pPr>
        <w:tabs>
          <w:tab w:val="num" w:pos="5760"/>
        </w:tabs>
        <w:ind w:left="5760" w:hanging="360"/>
      </w:pPr>
    </w:lvl>
    <w:lvl w:ilvl="8" w:tplc="A0B24DDC" w:tentative="1">
      <w:start w:val="1"/>
      <w:numFmt w:val="decimal"/>
      <w:lvlText w:val="%9."/>
      <w:lvlJc w:val="left"/>
      <w:pPr>
        <w:tabs>
          <w:tab w:val="num" w:pos="6480"/>
        </w:tabs>
        <w:ind w:left="6480" w:hanging="360"/>
      </w:pPr>
    </w:lvl>
  </w:abstractNum>
  <w:abstractNum w:abstractNumId="2" w15:restartNumberingAfterBreak="0">
    <w:nsid w:val="66633904"/>
    <w:multiLevelType w:val="hybridMultilevel"/>
    <w:tmpl w:val="2E386BE0"/>
    <w:lvl w:ilvl="0" w:tplc="CCDEDC24">
      <w:start w:val="3"/>
      <w:numFmt w:val="lowerRoman"/>
      <w:lvlText w:val="%1."/>
      <w:lvlJc w:val="right"/>
      <w:pPr>
        <w:tabs>
          <w:tab w:val="num" w:pos="720"/>
        </w:tabs>
        <w:ind w:left="720" w:hanging="360"/>
      </w:pPr>
    </w:lvl>
    <w:lvl w:ilvl="1" w:tplc="0E4488F8" w:tentative="1">
      <w:start w:val="1"/>
      <w:numFmt w:val="decimal"/>
      <w:lvlText w:val="%2."/>
      <w:lvlJc w:val="left"/>
      <w:pPr>
        <w:tabs>
          <w:tab w:val="num" w:pos="1440"/>
        </w:tabs>
        <w:ind w:left="1440" w:hanging="360"/>
      </w:pPr>
    </w:lvl>
    <w:lvl w:ilvl="2" w:tplc="20C221CC" w:tentative="1">
      <w:start w:val="1"/>
      <w:numFmt w:val="decimal"/>
      <w:lvlText w:val="%3."/>
      <w:lvlJc w:val="left"/>
      <w:pPr>
        <w:tabs>
          <w:tab w:val="num" w:pos="2160"/>
        </w:tabs>
        <w:ind w:left="2160" w:hanging="360"/>
      </w:pPr>
    </w:lvl>
    <w:lvl w:ilvl="3" w:tplc="F0C2FA7C" w:tentative="1">
      <w:start w:val="1"/>
      <w:numFmt w:val="decimal"/>
      <w:lvlText w:val="%4."/>
      <w:lvlJc w:val="left"/>
      <w:pPr>
        <w:tabs>
          <w:tab w:val="num" w:pos="2880"/>
        </w:tabs>
        <w:ind w:left="2880" w:hanging="360"/>
      </w:pPr>
    </w:lvl>
    <w:lvl w:ilvl="4" w:tplc="2C6C8AC2" w:tentative="1">
      <w:start w:val="1"/>
      <w:numFmt w:val="decimal"/>
      <w:lvlText w:val="%5."/>
      <w:lvlJc w:val="left"/>
      <w:pPr>
        <w:tabs>
          <w:tab w:val="num" w:pos="3600"/>
        </w:tabs>
        <w:ind w:left="3600" w:hanging="360"/>
      </w:pPr>
    </w:lvl>
    <w:lvl w:ilvl="5" w:tplc="C30AF7CC" w:tentative="1">
      <w:start w:val="1"/>
      <w:numFmt w:val="decimal"/>
      <w:lvlText w:val="%6."/>
      <w:lvlJc w:val="left"/>
      <w:pPr>
        <w:tabs>
          <w:tab w:val="num" w:pos="4320"/>
        </w:tabs>
        <w:ind w:left="4320" w:hanging="360"/>
      </w:pPr>
    </w:lvl>
    <w:lvl w:ilvl="6" w:tplc="ED6A7940" w:tentative="1">
      <w:start w:val="1"/>
      <w:numFmt w:val="decimal"/>
      <w:lvlText w:val="%7."/>
      <w:lvlJc w:val="left"/>
      <w:pPr>
        <w:tabs>
          <w:tab w:val="num" w:pos="5040"/>
        </w:tabs>
        <w:ind w:left="5040" w:hanging="360"/>
      </w:pPr>
    </w:lvl>
    <w:lvl w:ilvl="7" w:tplc="1E18E864" w:tentative="1">
      <w:start w:val="1"/>
      <w:numFmt w:val="decimal"/>
      <w:lvlText w:val="%8."/>
      <w:lvlJc w:val="left"/>
      <w:pPr>
        <w:tabs>
          <w:tab w:val="num" w:pos="5760"/>
        </w:tabs>
        <w:ind w:left="5760" w:hanging="360"/>
      </w:pPr>
    </w:lvl>
    <w:lvl w:ilvl="8" w:tplc="CE0643C6"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64"/>
    <w:rsid w:val="00064C86"/>
    <w:rsid w:val="000A4469"/>
    <w:rsid w:val="002D0AF8"/>
    <w:rsid w:val="00B217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8C77F-C606-4C81-BCB5-51BBAB29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2176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1764"/>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B2176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0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2022-02-19T12:50:00Z</dcterms:created>
  <dcterms:modified xsi:type="dcterms:W3CDTF">2022-02-19T12:52:00Z</dcterms:modified>
</cp:coreProperties>
</file>