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3C" w:rsidRPr="00EC7C3C" w:rsidRDefault="00EC7C3C" w:rsidP="00EC7C3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Ratification du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la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creation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EC7C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CADHP/Res.226(LII)2012</w:t>
      </w:r>
    </w:p>
    <w:bookmarkEnd w:id="0"/>
    <w:p w:rsidR="00EC7C3C" w:rsidRPr="00EC7C3C" w:rsidRDefault="00EC7C3C" w:rsidP="00EC7C3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C7C3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C7C3C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EC7C3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A40214" w:rsidRPr="00EC7C3C" w:rsidRDefault="00A40214">
      <w:pPr>
        <w:rPr>
          <w:rFonts w:cstheme="minorHAnsi"/>
        </w:rPr>
      </w:pP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52</w:t>
      </w:r>
      <w:r w:rsidRPr="00EC7C3C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qui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s’est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Yamoussoukro,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Côte d’Ivoire, du 9 au 22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2012 ;</w:t>
      </w:r>
      <w:proofErr w:type="gramEnd"/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2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) aux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>les 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CADHP/Res.29 (XXIV) 98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CADHP/Res.60 (XXXI) 02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CADHP/Res.74 (XXXVII) 05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CADHP/Res.177 (CLXXVII) 10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appellent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à faire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36(4)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aux Organisations non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(ONG)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saisir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-six (26) pays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cinq (5) pays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fait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34(6)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accessible pour la protection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et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complémentarité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que la non-ratification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réticence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à faire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compromettent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une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fois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encore,</w:t>
      </w:r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Parties qui ne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parties ne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l’ayant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faire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34 (6) du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la reconnaissance et la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EC7C3C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EC7C3C">
        <w:rPr>
          <w:rFonts w:asciiTheme="minorHAnsi" w:hAnsiTheme="minorHAnsi" w:cstheme="minorHAnsi"/>
          <w:color w:val="53575A"/>
          <w:sz w:val="23"/>
          <w:szCs w:val="23"/>
        </w:rPr>
        <w:t xml:space="preserve"> et des ONG. 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par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 52</w:t>
      </w:r>
      <w:r w:rsidRPr="00EC7C3C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Yamoussoukro,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Côte d’Ivoire, du 9 au 22 </w:t>
      </w:r>
      <w:proofErr w:type="spellStart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C7C3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EC7C3C" w:rsidRPr="00EC7C3C" w:rsidRDefault="00EC7C3C" w:rsidP="00EC7C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7C3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C7C3C" w:rsidRDefault="00EC7C3C"/>
    <w:sectPr w:rsidR="00EC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C"/>
    <w:rsid w:val="00A40214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383DA"/>
  <w15:chartTrackingRefBased/>
  <w15:docId w15:val="{D5209E51-DC5E-4A6A-9CCD-2183E31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C3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C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277644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2023-09-15T09:08:00Z</dcterms:created>
  <dcterms:modified xsi:type="dcterms:W3CDTF">2023-09-15T09:09:00Z</dcterms:modified>
</cp:coreProperties>
</file>