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52" w:rsidRPr="00CE6652" w:rsidRDefault="00CE6652" w:rsidP="00CE665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âgées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E665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CADHP/Res.250(LIV)2013</w:t>
      </w:r>
    </w:p>
    <w:bookmarkEnd w:id="0"/>
    <w:p w:rsidR="00CE6652" w:rsidRPr="00CE6652" w:rsidRDefault="00CE6652" w:rsidP="00CE665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E665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E6652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CE665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0D19D1" w:rsidRPr="00CE6652" w:rsidRDefault="000D19D1">
      <w:pPr>
        <w:rPr>
          <w:rFonts w:cstheme="minorHAnsi"/>
        </w:rPr>
      </w:pP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CE6652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22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2013;</w:t>
      </w:r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 droits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le Cadre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Plan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lequel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les « 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États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parties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ont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reconnu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les droits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fondamentaux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s’engagent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abolir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toutes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formes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discrimination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fondée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l’âge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», et se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engagés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à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veiller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ce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que les droits des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soient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protégées par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législation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appropriée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notamment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 droit de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s’organiser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groupes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 droit de se faire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représenter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afin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promouvoir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leurs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intérêts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» ;</w:t>
      </w:r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ACHPR /Rés.106 (XXXXI) 07 du 30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2007, sur les Droits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41ème Session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tenue du 16 au 30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2007, à Accra, au Ghana;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ACHPR/Rés.118 (XXXXII) 07</w:t>
      </w:r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,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relative à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sur pied d’un Point focal sur les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42ème session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tenue du 15 au 28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Congo;</w:t>
      </w:r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CADHP/Rés.143 (XXXXV) 09 relative à la transformation du Point focal sur les droits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que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stipule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son Article 18 (4) que « </w:t>
      </w:r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les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ou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handicapées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ont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également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droit à des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mesures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protection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spécifiques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conformes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leurs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besoins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physiques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ou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moraux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20 de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Kigali, qui</w:t>
      </w:r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« 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appelle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États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parties à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élaborer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un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Protocole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protection des droits des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handicapées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Point focal aux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duquel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, « 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servir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fer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lance au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processus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d’élaboration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d’un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Protocole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Droits des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soumettre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Organes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délibérants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l’Union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pour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examen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adoption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dans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meilleurs</w:t>
      </w:r>
      <w:proofErr w:type="spellEnd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délais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»</w:t>
      </w:r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Appréciant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le travail du Point focal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plaidoyer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droits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droits ;</w:t>
      </w:r>
      <w:proofErr w:type="gram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conféré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et aux fins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d’élaboration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 respect, par les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parties,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formulées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Plan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Vieillissement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Rappelant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CADHP/Rés.189 (XLIX) 2011</w:t>
      </w:r>
      <w:r w:rsidRPr="00CE6652">
        <w:rPr>
          <w:rFonts w:asciiTheme="minorHAnsi" w:hAnsiTheme="minorHAnsi" w:cstheme="minorHAnsi"/>
          <w:i/>
          <w:iCs/>
          <w:color w:val="53575A"/>
          <w:sz w:val="23"/>
          <w:szCs w:val="23"/>
        </w:rPr>
        <w:t>,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la 49</w:t>
      </w:r>
      <w:r w:rsidRPr="00CE665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s’est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du 28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au 12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2011, relative à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l’augmentation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des Experts 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CADHP/RES.200 (L) 11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le travail et les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remarquables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accomplis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la 52</w:t>
      </w:r>
      <w:r w:rsidRPr="00CE665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session tenue du 9 au 22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2012 à Yamoussoukro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Côte </w:t>
      </w:r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d’Ivoire ;</w:t>
      </w:r>
      <w:proofErr w:type="gram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à expiration;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s’occuper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des questions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relèvent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</w:t>
      </w:r>
      <w:r w:rsidRPr="00CE665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: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.       </w:t>
      </w:r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,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pour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2013,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du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Yeung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Yuen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 du</w:t>
      </w:r>
      <w:proofErr w:type="gram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Travail ; 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color w:val="53575A"/>
          <w:sz w:val="23"/>
          <w:szCs w:val="23"/>
        </w:rPr>
        <w:t>ii.      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Alapini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Gansou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Faith Pansy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color w:val="53575A"/>
          <w:sz w:val="23"/>
          <w:szCs w:val="23"/>
        </w:rPr>
        <w:t>iii.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pour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Mute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color w:val="53575A"/>
          <w:sz w:val="23"/>
          <w:szCs w:val="23"/>
        </w:rPr>
        <w:t>iv.       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désignés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gram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après :</w:t>
      </w:r>
      <w:proofErr w:type="gramEnd"/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       -    M.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Tavengwa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Machekano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Nhongo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color w:val="53575A"/>
          <w:sz w:val="23"/>
          <w:szCs w:val="23"/>
        </w:rPr>
        <w:t>        -    Mme Nadia Abdel-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Wahab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El-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Afify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       -    Mme Dr Isabelle Anita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Gbemisola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Aboderin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; et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        -    M.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Kudakwashe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E6652">
        <w:rPr>
          <w:rFonts w:asciiTheme="minorHAnsi" w:hAnsiTheme="minorHAnsi" w:cstheme="minorHAnsi"/>
          <w:color w:val="53575A"/>
          <w:sz w:val="23"/>
          <w:szCs w:val="23"/>
        </w:rPr>
        <w:t>Dube</w:t>
      </w:r>
      <w:proofErr w:type="spellEnd"/>
      <w:r w:rsidRPr="00CE665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CE6652" w:rsidRPr="00CE6652" w:rsidRDefault="00CE6652" w:rsidP="00CE66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5 </w:t>
      </w:r>
      <w:proofErr w:type="spellStart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CE665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CE6652" w:rsidRDefault="00CE6652"/>
    <w:sectPr w:rsidR="00CE6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52"/>
    <w:rsid w:val="000D19D1"/>
    <w:rsid w:val="00C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EC898"/>
  <w15:chartTrackingRefBased/>
  <w15:docId w15:val="{570AD935-04AF-45F5-B2FD-12E28D94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65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E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146377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2023-09-14T07:55:00Z</dcterms:created>
  <dcterms:modified xsi:type="dcterms:W3CDTF">2023-09-14T10:42:00Z</dcterms:modified>
</cp:coreProperties>
</file>