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47" w:rsidRPr="00833647" w:rsidRDefault="00833647" w:rsidP="0083364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83364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Resolution sur le renouvellement du mandat du groupe de travail sur les communications - CADHP/Res.255(LIV)2013</w:t>
      </w:r>
    </w:p>
    <w:bookmarkEnd w:id="0"/>
    <w:p w:rsidR="00833647" w:rsidRPr="00833647" w:rsidRDefault="00833647" w:rsidP="0083364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33647">
        <w:rPr>
          <w:rFonts w:eastAsia="Times New Roman" w:cstheme="minorHAnsi"/>
          <w:color w:val="231F20"/>
          <w:sz w:val="23"/>
          <w:szCs w:val="23"/>
          <w:lang w:eastAsia="en-ZA"/>
        </w:rPr>
        <w:t> nov 05, 2013</w:t>
      </w:r>
    </w:p>
    <w:p w:rsidR="00092E07" w:rsidRPr="00833647" w:rsidRDefault="00092E07">
      <w:pPr>
        <w:rPr>
          <w:rFonts w:cstheme="minorHAnsi"/>
        </w:rPr>
      </w:pP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La Commission africaine des droits de l’homme et des peuples (la Commission), réunie en sa 54</w:t>
      </w:r>
      <w:r w:rsidRPr="00833647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83364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Session ordinaire tenue du 22 octobre au 05 novembre 2013 à Banjul, Gambie;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son mandat de promotion et de protection des droits de l’homme et des peuples en vertu de la Charte africaine des droits de l’homme et des peuples </w:t>
      </w: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son mandat de protection qui comprend l’examen des Communications faisant état de violations des droits de l’homme introduites contre des États parties à la Charte africaine, conformément aux Articles 47 et 55 de la Charte africaine 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Prenant note</w:t>
      </w:r>
      <w:r w:rsidRPr="0083364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de la</w:t>
      </w:r>
      <w:r w:rsidRPr="00833647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Résolution CADHP/Rés.194 (L) 11, adoptée lors de sa 50</w:t>
      </w:r>
      <w:r w:rsidRPr="0083364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Session ordinaire tenue à Banjul, Gambie, du 24 octobre au 5 novembre 2011 portant création et désignation des membres d’un Groupe de travail sur les communications 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Prenant également note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de la Résolution CADHP/Rés.212 (EXT.OS/XI) 12, adoptée lors de sa 11</w:t>
      </w:r>
      <w:r w:rsidRPr="0083364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Session extraordinaire tenue à Banjul, Gambie, du 21 février au 1</w:t>
      </w:r>
      <w:r w:rsidRPr="0083364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mars 2012 définissant le mandat du Groupe de travail sur les communications 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 en outre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la Résolution CADHP/ Rés.255 (LII) 12 sur l’extension du mandat et la modification de la composition du groupe de travail sur les communications, adoptée à la 52</w:t>
      </w:r>
      <w:r w:rsidRPr="0083364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Session ordinaire, réunie du 9 au 22 octobre 2012, à Yamoussoukro, Côte d’Ivoire;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 en outre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l‘importance de l’action du Groupe de travail sur les Communications 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avec satisfaction le travail accompli par le Groupe de Travail sous la présidence de la Commissaire Kayitesi Zainabo Sylvie en sa qualité de Présidente du Groupe de Travail 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que le mandat de la Présidente et des membres du Groupe de Travail arrive à terme le 5 novembre 2013</w:t>
      </w: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l’importance du Groupe de Travail et la nécessité de permettre à celui-ci de continuer à exercer son mandat 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  de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:  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Nommer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la </w:t>
      </w: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 Lucy Asuagbor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en qualité de Présidente du Groupe de travail pour une période de deux ans prenant effet à compter du 05 novembre 2013 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Reconduire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le mandat de la </w:t>
      </w: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 Reine Alapini-Gansou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et du </w:t>
      </w: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 Pacifique Manirakiza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en qualité de membres du groupe de travail pour la même période 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Nommer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le </w:t>
      </w: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 Yeung Kam John Yeung Sik Yuen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 en qualité de membre du Groupe de travail pour la même période 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Reconduire </w:t>
      </w:r>
      <w:r w:rsidRPr="00833647">
        <w:rPr>
          <w:rFonts w:asciiTheme="minorHAnsi" w:hAnsiTheme="minorHAnsi" w:cstheme="minorHAnsi"/>
          <w:color w:val="53575A"/>
          <w:sz w:val="23"/>
          <w:szCs w:val="23"/>
        </w:rPr>
        <w:t>pour la même période le mandat de l’équipe d’appui au groupe de travail au niveau du secrétariat comme suit :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color w:val="53575A"/>
          <w:sz w:val="23"/>
          <w:szCs w:val="23"/>
        </w:rPr>
        <w:t>i.  La Secrétaire de la Commission en qualité de coordinatrice de l’équipe 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color w:val="53575A"/>
          <w:sz w:val="23"/>
          <w:szCs w:val="23"/>
        </w:rPr>
        <w:t>d’appui ;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color w:val="53575A"/>
          <w:sz w:val="23"/>
          <w:szCs w:val="23"/>
        </w:rPr>
        <w:lastRenderedPageBreak/>
        <w:t>ii.                 Deux (2) Juristes principaux ; et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color w:val="53575A"/>
          <w:sz w:val="23"/>
          <w:szCs w:val="23"/>
        </w:rPr>
        <w:t>iii.                Deux (2) Juristes.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b/>
          <w:bCs/>
          <w:color w:val="53575A"/>
          <w:sz w:val="23"/>
          <w:szCs w:val="23"/>
        </w:rPr>
        <w:t>Fait à Banjul, Gambie, le 05 novembre 2013</w:t>
      </w:r>
    </w:p>
    <w:p w:rsidR="00833647" w:rsidRPr="00833647" w:rsidRDefault="00833647" w:rsidP="0083364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3364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33647" w:rsidRDefault="00833647"/>
    <w:sectPr w:rsidR="00833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47"/>
    <w:rsid w:val="00092E07"/>
    <w:rsid w:val="0083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F50B8"/>
  <w15:chartTrackingRefBased/>
  <w15:docId w15:val="{B6C053AF-2006-40C8-9EC6-13FB11B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64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3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8089855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2023-09-13T09:20:00Z</dcterms:created>
  <dcterms:modified xsi:type="dcterms:W3CDTF">2023-09-13T09:22:00Z</dcterms:modified>
</cp:coreProperties>
</file>