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00" w:rsidRPr="008D4D00" w:rsidRDefault="008D4D00" w:rsidP="008D4D00">
      <w:pPr>
        <w:spacing w:before="240" w:after="0" w:line="240" w:lineRule="auto"/>
        <w:ind w:left="477" w:right="875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8D4D0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ACHPR/</w:t>
      </w:r>
      <w:bookmarkStart w:id="0" w:name="_GoBack"/>
      <w:r w:rsidRPr="008D4D0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Res.257 (LIV) 2013</w:t>
      </w:r>
      <w:bookmarkEnd w:id="0"/>
      <w:r w:rsidRPr="008D4D0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: RESOLUTION CALLING ON THE REPUBLIC OF KENYA TO IMPLEMENT THE ENDOROIS DECISION</w:t>
      </w:r>
    </w:p>
    <w:p w:rsidR="008D4D00" w:rsidRPr="008D4D00" w:rsidRDefault="008D4D00" w:rsidP="008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D4D00" w:rsidRPr="008D4D00" w:rsidRDefault="008D4D00" w:rsidP="008D4D00">
      <w:pPr>
        <w:spacing w:before="1" w:after="0" w:line="240" w:lineRule="auto"/>
        <w:ind w:left="477" w:right="874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ZA"/>
        </w:rPr>
      </w:pPr>
      <w:r w:rsidRPr="008D4D00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>The African Commission on Human and Peoples’ Rights (the Commission), meeting at its 54</w:t>
      </w:r>
      <w:r w:rsidRPr="008D4D00">
        <w:rPr>
          <w:rFonts w:ascii="Book Antiqua" w:eastAsia="Times New Roman" w:hAnsi="Book Antiqua" w:cs="Times New Roman"/>
          <w:b/>
          <w:bCs/>
          <w:i/>
          <w:iCs/>
          <w:color w:val="000000"/>
          <w:sz w:val="16"/>
          <w:szCs w:val="16"/>
          <w:vertAlign w:val="superscript"/>
          <w:lang w:eastAsia="en-ZA"/>
        </w:rPr>
        <w:t>th</w:t>
      </w:r>
      <w:r w:rsidRPr="008D4D00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>Ordinary Session, held in Banjul, The Gambia, from 22 October to 5 November 2013;</w:t>
      </w:r>
    </w:p>
    <w:p w:rsidR="008D4D00" w:rsidRPr="008D4D00" w:rsidRDefault="008D4D00" w:rsidP="008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D4D00" w:rsidRPr="008D4D00" w:rsidRDefault="008D4D00" w:rsidP="008D4D00">
      <w:pPr>
        <w:spacing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4D0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mandate to promote and protect human and peoples’ rights in Africa as provided for in Article 45 of the African Charter on Human and Peoples’ Rights (the African Charter);</w:t>
      </w:r>
    </w:p>
    <w:p w:rsidR="008D4D00" w:rsidRPr="008D4D00" w:rsidRDefault="008D4D00" w:rsidP="008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D4D00" w:rsidRPr="008D4D00" w:rsidRDefault="008D4D00" w:rsidP="008D4D00">
      <w:pPr>
        <w:spacing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4D0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Reaffirming </w:t>
      </w: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Commission’s commitment to the promotion and protection of the rights of indigenous populations or communities in Africa, as a result of which it resolved to establish a Working Group on Indigenous Populations/Communities in Resolution ACHPR/Res.51 (XXVIII) 00;</w:t>
      </w:r>
    </w:p>
    <w:p w:rsidR="008D4D00" w:rsidRPr="008D4D00" w:rsidRDefault="008D4D00" w:rsidP="008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D4D00" w:rsidRPr="008D4D00" w:rsidRDefault="008D4D00" w:rsidP="008D4D00">
      <w:pPr>
        <w:spacing w:before="1"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4D0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Further recalling </w:t>
      </w: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Resolution ACHPR/Res.65 (XXXIV)03 on the Report of the African Commission’s Working Group on Indigenous Populations/Communities adopted at its 34</w:t>
      </w:r>
      <w:r w:rsidRPr="008D4D00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Session, held in Banjul, The Gambia, from 6 to 20 November 2003;</w:t>
      </w:r>
    </w:p>
    <w:p w:rsidR="008D4D00" w:rsidRPr="008D4D00" w:rsidRDefault="008D4D00" w:rsidP="008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D4D00" w:rsidRPr="008D4D00" w:rsidRDefault="008D4D00" w:rsidP="008D4D00">
      <w:pPr>
        <w:spacing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4D0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Recognising </w:t>
      </w: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importance of ensuring State Parties’ compliance with the decisions of the Commission on Communications to ascertain victims’ rights to effective redress;</w:t>
      </w:r>
    </w:p>
    <w:p w:rsidR="008D4D00" w:rsidRPr="008D4D00" w:rsidRDefault="008D4D00" w:rsidP="008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D4D00" w:rsidRPr="008D4D00" w:rsidRDefault="008D4D00" w:rsidP="008D4D00">
      <w:pPr>
        <w:spacing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4D0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Noting </w:t>
      </w: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Commission’s obligation to follow-up on the implementation of its decisions in accordance with Rule 112 of its Rules of Procedure;</w:t>
      </w:r>
    </w:p>
    <w:p w:rsidR="008D4D00" w:rsidRPr="008D4D00" w:rsidRDefault="008D4D00" w:rsidP="008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D4D00" w:rsidRPr="008D4D00" w:rsidRDefault="008D4D00" w:rsidP="008D4D00">
      <w:pPr>
        <w:spacing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4D0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Rule 118 (1) of the Commission’s Rules of Procedure which allows the Commission to submit a case to the African Court on Human and Peoples’ Rights where a State has not complied, or is unwilling to comply, with its decisions;</w:t>
      </w:r>
    </w:p>
    <w:p w:rsidR="008D4D00" w:rsidRPr="008D4D00" w:rsidRDefault="008D4D00" w:rsidP="008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D4D00" w:rsidRPr="008D4D00" w:rsidRDefault="008D4D00" w:rsidP="008D4D00">
      <w:pPr>
        <w:spacing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4D0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the Commission’s decision in </w:t>
      </w:r>
      <w:r w:rsidRPr="008D4D00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 xml:space="preserve">Centre for Minority Rights Development (Kenya) and Minority Rights Group International (on behalf of </w:t>
      </w:r>
      <w:proofErr w:type="spellStart"/>
      <w:r w:rsidRPr="008D4D00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>Endorois</w:t>
      </w:r>
      <w:proofErr w:type="spellEnd"/>
      <w:r w:rsidRPr="008D4D00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 xml:space="preserve"> Welfare Council) v. the Republic of Kenya;</w:t>
      </w:r>
    </w:p>
    <w:p w:rsidR="008D4D00" w:rsidRPr="008D4D00" w:rsidRDefault="008D4D00" w:rsidP="008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D4D00" w:rsidRPr="008D4D00" w:rsidRDefault="008D4D00" w:rsidP="008D4D00">
      <w:pPr>
        <w:spacing w:before="1"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4D0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Further recalling </w:t>
      </w: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oral hearing at the53</w:t>
      </w:r>
      <w:r w:rsidRPr="008D4D00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rd </w:t>
      </w: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Ordinary Session of the Commission, held from 9 to 23 April 2013, in Banjul, The Gambia, whereby the parties updated the Commission on the implementation of its decision in the </w:t>
      </w:r>
      <w:proofErr w:type="spellStart"/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Endorois</w:t>
      </w:r>
      <w:proofErr w:type="spellEnd"/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case;</w:t>
      </w:r>
    </w:p>
    <w:p w:rsidR="008D4D00" w:rsidRPr="008D4D00" w:rsidRDefault="008D4D00" w:rsidP="008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D4D00" w:rsidRPr="008D4D00" w:rsidRDefault="008D4D00" w:rsidP="008D4D00">
      <w:pPr>
        <w:spacing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4D0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the Commission’s Note </w:t>
      </w:r>
      <w:proofErr w:type="spellStart"/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Verbale</w:t>
      </w:r>
      <w:proofErr w:type="spellEnd"/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to the Republic of Kenya, dated 29 April 2013, in which the Commission reminded the State party </w:t>
      </w: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lastRenderedPageBreak/>
        <w:t>of its pledge at the oral hearing to submit an interim report within 90 days of the hearing, and a comprehensive report, including a road map with timelines and commitments for implementation at the Commission’s 54</w:t>
      </w:r>
      <w:r w:rsidRPr="008D4D00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Session;</w:t>
      </w:r>
    </w:p>
    <w:p w:rsidR="008D4D00" w:rsidRPr="008D4D00" w:rsidRDefault="008D4D00" w:rsidP="008D4D00">
      <w:pPr>
        <w:spacing w:before="239"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4D0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Bearing in mind </w:t>
      </w: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non-compliance of the Republic of Kenya with its pledge to transmit an interim report within 90 days of the oral hearing, and a comprehensive report at the 54</w:t>
      </w:r>
      <w:r w:rsidRPr="008D4D00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 of the Commission, held in Banjul, The Gambia, from 22 October to 5 November 2013;</w:t>
      </w:r>
    </w:p>
    <w:p w:rsidR="008D4D00" w:rsidRPr="008D4D00" w:rsidRDefault="008D4D00" w:rsidP="008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D4D00" w:rsidRPr="008D4D00" w:rsidRDefault="008D4D00" w:rsidP="008D4D00">
      <w:pPr>
        <w:spacing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4D0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Taking into account </w:t>
      </w: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the absence of the Kenyan Government representatives at the “Workshop on the Status of Implementation of the </w:t>
      </w:r>
      <w:proofErr w:type="spellStart"/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Endorois</w:t>
      </w:r>
      <w:proofErr w:type="spellEnd"/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Decision of the African Commission on Human and Peoples’ Rights” organised by the Working Group on Indigenous Populations/Communities in collaboration with the </w:t>
      </w:r>
      <w:proofErr w:type="spellStart"/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Endorois</w:t>
      </w:r>
      <w:proofErr w:type="spellEnd"/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Welfare Council held in Nairobi, Kenya on 23 September 2013;</w:t>
      </w:r>
    </w:p>
    <w:p w:rsidR="008D4D00" w:rsidRPr="008D4D00" w:rsidRDefault="008D4D00" w:rsidP="008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D4D00" w:rsidRPr="008D4D00" w:rsidRDefault="008D4D00" w:rsidP="008D4D00">
      <w:pPr>
        <w:spacing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4D0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Concerned </w:t>
      </w: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by the lack of feedback from the Government of Kenya on the measures it has taken to implement the </w:t>
      </w:r>
      <w:proofErr w:type="spellStart"/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Endorois</w:t>
      </w:r>
      <w:proofErr w:type="spellEnd"/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decision;</w:t>
      </w:r>
    </w:p>
    <w:p w:rsidR="008D4D00" w:rsidRPr="008D4D00" w:rsidRDefault="008D4D00" w:rsidP="008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D4D00" w:rsidRPr="008D4D00" w:rsidRDefault="008D4D00" w:rsidP="008D4D00">
      <w:pPr>
        <w:spacing w:before="1" w:after="0" w:line="240" w:lineRule="auto"/>
        <w:ind w:left="4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Commission:</w:t>
      </w:r>
    </w:p>
    <w:p w:rsidR="008D4D00" w:rsidRPr="008D4D00" w:rsidRDefault="008D4D00" w:rsidP="008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D4D00" w:rsidRPr="008D4D00" w:rsidRDefault="008D4D00" w:rsidP="008D4D00">
      <w:pPr>
        <w:tabs>
          <w:tab w:val="left" w:pos="720"/>
        </w:tabs>
        <w:spacing w:after="0" w:line="240" w:lineRule="auto"/>
        <w:ind w:left="1196" w:right="878" w:hanging="360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1.</w:t>
      </w: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</w:r>
      <w:r w:rsidRPr="008D4D0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Urges </w:t>
      </w: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Government of Kenya, as State Party to the African Charter, to comply with its obligations under the Charter, including giving effect to the rights and freedoms guaranteed therein;</w:t>
      </w:r>
    </w:p>
    <w:p w:rsidR="008D4D00" w:rsidRPr="008D4D00" w:rsidRDefault="008D4D00" w:rsidP="008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D4D00" w:rsidRPr="008D4D00" w:rsidRDefault="008D4D00" w:rsidP="008D4D00">
      <w:pPr>
        <w:spacing w:after="0" w:line="240" w:lineRule="auto"/>
        <w:ind w:left="1196" w:right="873" w:hanging="476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2.</w:t>
      </w: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</w:r>
      <w:r w:rsidRPr="008D4D0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Calls on </w:t>
      </w: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the Government of Kenya to inform the Commission of the measures proposed to implement the </w:t>
      </w:r>
      <w:proofErr w:type="spellStart"/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Endorois</w:t>
      </w:r>
      <w:proofErr w:type="spellEnd"/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decision, and more particularly, the concrete steps taken to engage all the players and stakeholders, including the victims, with a view to giving full effect to the decision;</w:t>
      </w:r>
    </w:p>
    <w:p w:rsidR="008D4D00" w:rsidRPr="008D4D00" w:rsidRDefault="008D4D00" w:rsidP="008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D4D00" w:rsidRPr="008D4D00" w:rsidRDefault="008D4D00" w:rsidP="008D4D00">
      <w:pPr>
        <w:spacing w:before="1" w:after="0" w:line="240" w:lineRule="auto"/>
        <w:ind w:left="1196" w:right="874" w:hanging="476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3.</w:t>
      </w: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</w:r>
      <w:r w:rsidRPr="008D4D0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Exhorts </w:t>
      </w: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Government of Kenya to immediately transmit to the Commission, a comprehensive report, including a roadmap for implementation as pledged during the oral hearing at the 53</w:t>
      </w:r>
      <w:r w:rsidRPr="008D4D00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rd </w:t>
      </w:r>
      <w:r w:rsidRPr="008D4D0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 of the Commission.</w:t>
      </w:r>
    </w:p>
    <w:p w:rsidR="008D4D00" w:rsidRPr="008D4D00" w:rsidRDefault="008D4D00" w:rsidP="008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D4D00" w:rsidRPr="008D4D00" w:rsidRDefault="008D4D00" w:rsidP="008D4D00">
      <w:pPr>
        <w:spacing w:before="23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8D4D0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Done in Banjul, </w:t>
      </w:r>
      <w:proofErr w:type="gramStart"/>
      <w:r w:rsidRPr="008D4D0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The</w:t>
      </w:r>
      <w:proofErr w:type="gramEnd"/>
      <w:r w:rsidRPr="008D4D0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Gambia, 5 November 2013</w:t>
      </w:r>
    </w:p>
    <w:p w:rsidR="00667D87" w:rsidRDefault="008D4D00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75D24"/>
    <w:multiLevelType w:val="multilevel"/>
    <w:tmpl w:val="0D5CC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C558C1"/>
    <w:multiLevelType w:val="multilevel"/>
    <w:tmpl w:val="4F6431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5644AB"/>
    <w:multiLevelType w:val="multilevel"/>
    <w:tmpl w:val="40C4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00"/>
    <w:rsid w:val="00064C86"/>
    <w:rsid w:val="000A4469"/>
    <w:rsid w:val="008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C5A52-5812-438D-A928-EDC9EAA2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D4D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Heading5">
    <w:name w:val="heading 5"/>
    <w:basedOn w:val="Normal"/>
    <w:link w:val="Heading5Char"/>
    <w:uiPriority w:val="9"/>
    <w:qFormat/>
    <w:rsid w:val="008D4D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D4D00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customStyle="1" w:styleId="Heading5Char">
    <w:name w:val="Heading 5 Char"/>
    <w:basedOn w:val="DefaultParagraphFont"/>
    <w:link w:val="Heading5"/>
    <w:uiPriority w:val="9"/>
    <w:rsid w:val="008D4D00"/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D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2022-02-20T13:57:00Z</dcterms:created>
  <dcterms:modified xsi:type="dcterms:W3CDTF">2022-02-20T13:58:00Z</dcterms:modified>
</cp:coreProperties>
</file>