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ind w:left="477"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sz w:val="24"/>
          <w:szCs w:val="24"/>
          <w:rtl w:val="0"/>
        </w:rPr>
        <w:t xml:space="preserve">ACHPR Res. 285 (EXT.OS/XVI) 2014: Resolution Appointing an Expert</w:t>
      </w:r>
      <w:r w:rsidDel="00000000" w:rsidR="00000000" w:rsidRPr="00000000">
        <w:rPr>
          <w:rtl w:val="0"/>
        </w:rPr>
      </w:r>
    </w:p>
    <w:p w:rsidR="00000000" w:rsidDel="00000000" w:rsidP="00000000" w:rsidRDefault="00000000" w:rsidRPr="00000000" w14:paraId="00000002">
      <w:pPr>
        <w:spacing w:after="0" w:line="240" w:lineRule="auto"/>
        <w:ind w:left="477" w:right="876"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Member for the Committee on the Protection of the Rights of People Living with HIV (PLHIV), and Those at Risk, Vulnerable to and</w:t>
      </w:r>
      <w:r w:rsidDel="00000000" w:rsidR="00000000" w:rsidRPr="00000000">
        <w:rPr>
          <w:rtl w:val="0"/>
        </w:rPr>
      </w:r>
    </w:p>
    <w:p w:rsidR="00000000" w:rsidDel="00000000" w:rsidP="00000000" w:rsidRDefault="00000000" w:rsidRPr="00000000" w14:paraId="00000003">
      <w:pPr>
        <w:spacing w:after="0" w:line="240" w:lineRule="auto"/>
        <w:ind w:left="477" w:firstLine="0"/>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Affected by HIV in Africa</w:t>
      </w:r>
      <w:r w:rsidDel="00000000" w:rsidR="00000000" w:rsidRPr="00000000">
        <w:rPr>
          <w:rtl w:val="0"/>
        </w:rPr>
      </w:r>
    </w:p>
    <w:p w:rsidR="00000000" w:rsidDel="00000000" w:rsidP="00000000" w:rsidRDefault="00000000" w:rsidRPr="00000000" w14:paraId="00000004">
      <w:pPr>
        <w:spacing w:after="0" w:before="239" w:line="240" w:lineRule="auto"/>
        <w:ind w:left="477" w:right="89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 the  Commission) at its 16 </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Extraordinary Session held from 20 to  29 July </w:t>
      </w:r>
      <w:r w:rsidDel="00000000" w:rsidR="00000000" w:rsidRPr="00000000">
        <w:rPr>
          <w:rFonts w:ascii="Book Antiqua" w:cs="Book Antiqua" w:eastAsia="Book Antiqua" w:hAnsi="Book Antiqua"/>
          <w:i w:val="1"/>
          <w:sz w:val="24"/>
          <w:szCs w:val="24"/>
          <w:rtl w:val="0"/>
        </w:rPr>
        <w:t xml:space="preserve"> </w:t>
      </w:r>
      <w:r w:rsidDel="00000000" w:rsidR="00000000" w:rsidRPr="00000000">
        <w:rPr>
          <w:rFonts w:ascii="Book Antiqua" w:cs="Book Antiqua" w:eastAsia="Book Antiqua" w:hAnsi="Book Antiqua"/>
          <w:i w:val="1"/>
          <w:color w:val="000000"/>
          <w:sz w:val="24"/>
          <w:szCs w:val="24"/>
          <w:rtl w:val="0"/>
        </w:rPr>
        <w:t xml:space="preserve">2014,  in  Kigali, Republic of Rwanda </w:t>
      </w:r>
      <w:r w:rsidDel="00000000" w:rsidR="00000000" w:rsidRPr="00000000">
        <w:rPr>
          <w:rFonts w:ascii="Book Antiqua" w:cs="Book Antiqua" w:eastAsia="Book Antiqua" w:hAnsi="Book Antiqua"/>
          <w:b w:val="1"/>
          <w:i w:val="1"/>
          <w:color w:val="000000"/>
          <w:sz w:val="24"/>
          <w:szCs w:val="24"/>
          <w:rtl w:val="0"/>
        </w:rPr>
        <w:t xml:space="preserve">;</w:t>
      </w:r>
      <w:r w:rsidDel="00000000" w:rsidR="00000000" w:rsidRPr="00000000">
        <w:rPr>
          <w:rtl w:val="0"/>
        </w:rPr>
      </w:r>
    </w:p>
    <w:p w:rsidR="00000000" w:rsidDel="00000000" w:rsidP="00000000" w:rsidRDefault="00000000" w:rsidRPr="00000000" w14:paraId="00000005">
      <w:pPr>
        <w:spacing w:after="0" w:before="240" w:line="240" w:lineRule="auto"/>
        <w:ind w:left="477" w:right="90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 under the African Charter  on  Human  and  Peoples’ Rights ( African Charter);</w:t>
      </w:r>
      <w:r w:rsidDel="00000000" w:rsidR="00000000" w:rsidRPr="00000000">
        <w:rPr>
          <w:rtl w:val="0"/>
        </w:rPr>
      </w:r>
    </w:p>
    <w:p w:rsidR="00000000" w:rsidDel="00000000" w:rsidP="00000000" w:rsidRDefault="00000000" w:rsidRPr="00000000" w14:paraId="00000006">
      <w:pPr>
        <w:spacing w:after="0" w:before="241"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that the Commission established the Committee on  the Protection of  the  Rights of People Living with HIV  ( PLHIV), and  Those at  Risk, Vulnerable to and  Affected by  HIV (the Committee) composed of nine (9) members, amongst them, three(3) Members of the Commission;</w:t>
      </w:r>
      <w:r w:rsidDel="00000000" w:rsidR="00000000" w:rsidRPr="00000000">
        <w:rPr>
          <w:rtl w:val="0"/>
        </w:rPr>
      </w:r>
    </w:p>
    <w:p w:rsidR="00000000" w:rsidDel="00000000" w:rsidP="00000000" w:rsidRDefault="00000000" w:rsidRPr="00000000" w14:paraId="00000007">
      <w:pPr>
        <w:spacing w:after="0" w:before="240" w:line="240" w:lineRule="auto"/>
        <w:ind w:left="477" w:right="90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Resolution  ACHPR/Res.163  ( XLVII)  10,  adopted  at  the 47</w:t>
      </w:r>
      <w:r w:rsidDel="00000000" w:rsidR="00000000" w:rsidRPr="00000000">
        <w:rPr>
          <w:rFonts w:ascii="Book Antiqua" w:cs="Book Antiqua" w:eastAsia="Book Antiqua" w:hAnsi="Book Antiqua"/>
          <w:color w:val="000000"/>
          <w:sz w:val="16"/>
          <w:szCs w:val="16"/>
          <w:vertAlign w:val="superscript"/>
          <w:rtl w:val="0"/>
        </w:rPr>
        <w:t xml:space="preserve">t h   </w:t>
      </w:r>
      <w:r w:rsidDel="00000000" w:rsidR="00000000" w:rsidRPr="00000000">
        <w:rPr>
          <w:rFonts w:ascii="Book Antiqua" w:cs="Book Antiqua" w:eastAsia="Book Antiqua" w:hAnsi="Book Antiqua"/>
          <w:color w:val="000000"/>
          <w:sz w:val="24"/>
          <w:szCs w:val="24"/>
          <w:rtl w:val="0"/>
        </w:rPr>
        <w:t xml:space="preserve">Ordinary Session of  the  African Commission on  the  establishment of  a Committee on  the  Protection of the  Rights of People Living with HIV ( PLHIV), and Those at Risk, Vulnerable to and Affected by HIV;</w:t>
      </w:r>
      <w:r w:rsidDel="00000000" w:rsidR="00000000" w:rsidRPr="00000000">
        <w:rPr>
          <w:rtl w:val="0"/>
        </w:rPr>
      </w:r>
    </w:p>
    <w:p w:rsidR="00000000" w:rsidDel="00000000" w:rsidP="00000000" w:rsidRDefault="00000000" w:rsidRPr="00000000" w14:paraId="00000008">
      <w:pPr>
        <w:spacing w:after="0" w:before="240" w:line="240" w:lineRule="auto"/>
        <w:ind w:left="477" w:right="89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its Resolutions ACHPR/172 (XLVIII) 10 and ACHPR/Res.195 ( L) 11 on the appointment  of  Members  of the Committee and that of  Commissioner  Lucy  Asuagbor as  the Chairperson of the Committee on the Protection of the Rights of People Living with HIV ( PLHIV), and Those  at  Risk,  Vulnerable  to  and Affected by HIV in Africa;</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ind w:left="477" w:right="877" w:firstLine="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Further </w:t>
      </w:r>
      <w:r w:rsidDel="00000000" w:rsidR="00000000" w:rsidRPr="00000000">
        <w:rPr>
          <w:rFonts w:ascii="Book Antiqua" w:cs="Book Antiqua" w:eastAsia="Book Antiqua" w:hAnsi="Book Antiqua"/>
          <w:color w:val="000000"/>
          <w:sz w:val="24"/>
          <w:szCs w:val="24"/>
          <w:rtl w:val="0"/>
        </w:rPr>
        <w:t xml:space="preserve">Resolution ACHPR/Res. 271 (LV) 14 on the Extension of the Mandate of the Committee on the  Protection  of  the  Rights  of People Living with HIV ( PLHIV), and Those  at  Risk,  Vulnerable  to  and Affected by HIV in Africa, extending the mandate of the Committee and eight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8.</w:t>
      </w: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of its members for a period of two years taking effect from 12 May 2014;</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Noting </w:t>
      </w:r>
      <w:r w:rsidDel="00000000" w:rsidR="00000000" w:rsidRPr="00000000">
        <w:rPr>
          <w:rFonts w:ascii="Book Antiqua" w:cs="Book Antiqua" w:eastAsia="Book Antiqua" w:hAnsi="Book Antiqua"/>
          <w:color w:val="000000"/>
          <w:sz w:val="24"/>
          <w:szCs w:val="24"/>
          <w:rtl w:val="0"/>
        </w:rPr>
        <w:t xml:space="preserve">the vacancy created by the decision of an expert member of the Committee not to renew her membership, and </w:t>
      </w:r>
      <w:r w:rsidDel="00000000" w:rsidR="00000000" w:rsidRPr="00000000">
        <w:rPr>
          <w:rFonts w:ascii="Book Antiqua" w:cs="Book Antiqua" w:eastAsia="Book Antiqua" w:hAnsi="Book Antiqua"/>
          <w:b w:val="1"/>
          <w:i w:val="1"/>
          <w:color w:val="000000"/>
          <w:sz w:val="24"/>
          <w:szCs w:val="24"/>
          <w:rtl w:val="0"/>
        </w:rPr>
        <w:t xml:space="preserve">conscious </w:t>
      </w:r>
      <w:r w:rsidDel="00000000" w:rsidR="00000000" w:rsidRPr="00000000">
        <w:rPr>
          <w:rFonts w:ascii="Book Antiqua" w:cs="Book Antiqua" w:eastAsia="Book Antiqua" w:hAnsi="Book Antiqua"/>
          <w:color w:val="000000"/>
          <w:sz w:val="24"/>
          <w:szCs w:val="24"/>
          <w:rtl w:val="0"/>
        </w:rPr>
        <w:t xml:space="preserve">of the need to appoint one (1) new member to replace her;</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Recognising </w:t>
      </w:r>
      <w:r w:rsidDel="00000000" w:rsidR="00000000" w:rsidRPr="00000000">
        <w:rPr>
          <w:rFonts w:ascii="Book Antiqua" w:cs="Book Antiqua" w:eastAsia="Book Antiqua" w:hAnsi="Book Antiqua"/>
          <w:color w:val="000000"/>
          <w:sz w:val="24"/>
          <w:szCs w:val="24"/>
          <w:rtl w:val="0"/>
        </w:rPr>
        <w:t xml:space="preserve">the importance of the work of the Committee and the need to enable it to continue to effectively implement its mandate, and also that its success depends on the commitment and expertise of its members;</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Conscious </w:t>
      </w:r>
      <w:r w:rsidDel="00000000" w:rsidR="00000000" w:rsidRPr="00000000">
        <w:rPr>
          <w:rFonts w:ascii="Book Antiqua" w:cs="Book Antiqua" w:eastAsia="Book Antiqua" w:hAnsi="Book Antiqua"/>
          <w:color w:val="000000"/>
          <w:sz w:val="24"/>
          <w:szCs w:val="24"/>
          <w:rtl w:val="0"/>
        </w:rPr>
        <w:t xml:space="preserve">of the need to ensure fair representation, taking into account the various geographical regions, languages, legal systems and gender;</w:t>
      </w:r>
      <w:r w:rsidDel="00000000" w:rsidR="00000000" w:rsidRPr="00000000">
        <w:rPr>
          <w:rtl w:val="0"/>
        </w:rPr>
      </w:r>
    </w:p>
    <w:p w:rsidR="00000000" w:rsidDel="00000000" w:rsidP="00000000" w:rsidRDefault="00000000" w:rsidRPr="00000000" w14:paraId="00000011">
      <w:pPr>
        <w:tabs>
          <w:tab w:val="left" w:pos="720"/>
        </w:tabs>
        <w:spacing w:after="0" w:before="239" w:line="240" w:lineRule="auto"/>
        <w:ind w:left="1196" w:right="879"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w:t>
        <w:tab/>
      </w:r>
      <w:r w:rsidDel="00000000" w:rsidR="00000000" w:rsidRPr="00000000">
        <w:rPr>
          <w:rFonts w:ascii="Book Antiqua" w:cs="Book Antiqua" w:eastAsia="Book Antiqua" w:hAnsi="Book Antiqua"/>
          <w:b w:val="1"/>
          <w:i w:val="1"/>
          <w:color w:val="000000"/>
          <w:sz w:val="24"/>
          <w:szCs w:val="24"/>
          <w:rtl w:val="0"/>
        </w:rPr>
        <w:t xml:space="preserve">Decides </w:t>
      </w:r>
      <w:r w:rsidDel="00000000" w:rsidR="00000000" w:rsidRPr="00000000">
        <w:rPr>
          <w:rFonts w:ascii="Book Antiqua" w:cs="Book Antiqua" w:eastAsia="Book Antiqua" w:hAnsi="Book Antiqua"/>
          <w:color w:val="000000"/>
          <w:sz w:val="24"/>
          <w:szCs w:val="24"/>
          <w:rtl w:val="0"/>
        </w:rPr>
        <w:t xml:space="preserve">to appoint Ms Ann Strode as an expert member of the Committee for a period of two years; and</w:t>
      </w:r>
    </w:p>
    <w:p w:rsidR="00000000" w:rsidDel="00000000" w:rsidP="00000000" w:rsidRDefault="00000000" w:rsidRPr="00000000" w14:paraId="00000012">
      <w:pPr>
        <w:tabs>
          <w:tab w:val="left" w:pos="720"/>
        </w:tabs>
        <w:spacing w:after="0" w:line="240" w:lineRule="auto"/>
        <w:ind w:left="1196" w:right="877"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2.</w:t>
        <w:tab/>
      </w:r>
      <w:r w:rsidDel="00000000" w:rsidR="00000000" w:rsidRPr="00000000">
        <w:rPr>
          <w:rFonts w:ascii="Book Antiqua" w:cs="Book Antiqua" w:eastAsia="Book Antiqua" w:hAnsi="Book Antiqua"/>
          <w:b w:val="1"/>
          <w:i w:val="1"/>
          <w:color w:val="000000"/>
          <w:sz w:val="24"/>
          <w:szCs w:val="24"/>
          <w:rtl w:val="0"/>
        </w:rPr>
        <w:t xml:space="preserve">Calls Upon </w:t>
      </w:r>
      <w:r w:rsidDel="00000000" w:rsidR="00000000" w:rsidRPr="00000000">
        <w:rPr>
          <w:rFonts w:ascii="Book Antiqua" w:cs="Book Antiqua" w:eastAsia="Book Antiqua" w:hAnsi="Book Antiqua"/>
          <w:color w:val="000000"/>
          <w:sz w:val="24"/>
          <w:szCs w:val="24"/>
          <w:rtl w:val="0"/>
        </w:rPr>
        <w:t xml:space="preserve">partners and other stakeholders to continue to assist the Committee in the implementation of its mandate.</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before="1" w:line="240" w:lineRule="auto"/>
        <w:ind w:left="624" w:right="667.7952755905511"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Adopted at the 16</w:t>
      </w:r>
      <w:r w:rsidDel="00000000" w:rsidR="00000000" w:rsidRPr="00000000">
        <w:rPr>
          <w:rFonts w:ascii="Book Antiqua" w:cs="Book Antiqua" w:eastAsia="Book Antiqua" w:hAnsi="Book Antiqua"/>
          <w:b w:val="1"/>
          <w:color w:val="000000"/>
          <w:sz w:val="16"/>
          <w:szCs w:val="16"/>
          <w:vertAlign w:val="superscript"/>
          <w:rtl w:val="0"/>
        </w:rPr>
        <w:t xml:space="preserve">th </w:t>
      </w:r>
      <w:r w:rsidDel="00000000" w:rsidR="00000000" w:rsidRPr="00000000">
        <w:rPr>
          <w:rFonts w:ascii="Book Antiqua" w:cs="Book Antiqua" w:eastAsia="Book Antiqua" w:hAnsi="Book Antiqua"/>
          <w:b w:val="1"/>
          <w:color w:val="000000"/>
          <w:sz w:val="24"/>
          <w:szCs w:val="24"/>
          <w:rtl w:val="0"/>
        </w:rPr>
        <w:t xml:space="preserve">Extraordinary Session of the African Commission on Human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and Peoples’ Rights held from 20 to 29 July 2014 in Kigali, Republic of Rwanda</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B6544D"/>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B6544D"/>
    <w:rPr>
      <w:rFonts w:ascii="Times New Roman" w:cs="Times New Roman" w:eastAsia="Times New Roman" w:hAnsi="Times New Roman"/>
      <w:b w:val="1"/>
      <w:bCs w:val="1"/>
      <w:sz w:val="24"/>
      <w:szCs w:val="24"/>
      <w:lang w:eastAsia="en-ZA"/>
    </w:rPr>
  </w:style>
  <w:style w:type="paragraph" w:styleId="NormalWeb">
    <w:name w:val="Normal (Web)"/>
    <w:basedOn w:val="Normal"/>
    <w:uiPriority w:val="99"/>
    <w:semiHidden w:val="1"/>
    <w:unhideWhenUsed w:val="1"/>
    <w:rsid w:val="00B6544D"/>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VaIKzc+Ewye6hg3snkjgGkA+XQ==">AMUW2mW23tNAhJben9onenZ+Esbd6s2D6x+rIEBiFpv2R4kAgYsXKO2pM4o2lAohyrVum9Onn8+zvg5/uvWyNyb6XvrhPW2WXerLlCFg1WTgYTY9oHCdd6XAgZGzMiIiKusuLpmJD4nU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2022-02-21T16:05:00Z</dcterms:created>
  <dc:creator>HOME</dc:creator>
</cp:coreProperties>
</file>