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1705" w:right="980" w:hanging="1228"/>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u w:val="single"/>
          <w:rtl w:val="0"/>
        </w:rPr>
        <w:t xml:space="preserve">ACHPR/Res.286 (EXT.OS/XVI) 2014: </w:t>
      </w:r>
      <w:r w:rsidDel="00000000" w:rsidR="00000000" w:rsidRPr="00000000">
        <w:rPr>
          <w:rFonts w:ascii="Book Antiqua" w:cs="Book Antiqua" w:eastAsia="Book Antiqua" w:hAnsi="Book Antiqua"/>
          <w:b w:val="1"/>
          <w:color w:val="000000"/>
          <w:sz w:val="24"/>
          <w:szCs w:val="24"/>
          <w:rtl w:val="0"/>
        </w:rPr>
        <w:t xml:space="preserve">Resolution on Freedom of Expression in the Kingdom of Swaziland</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2014, in Kigali, Republic of Rwanda;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Article 9 of the African Charter, which provides that every individual shall have the right to receive information and to express and disseminate his or her opinions within the law, as well as other international human rights instruments, including the Universal Declaration of Human Rights (UDHR) and the International Covenant on Civil and Political Rights (ICCPR);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w:t>
      </w:r>
      <w:r w:rsidDel="00000000" w:rsidR="00000000" w:rsidRPr="00000000">
        <w:rPr>
          <w:rFonts w:ascii="Book Antiqua" w:cs="Book Antiqua" w:eastAsia="Book Antiqua" w:hAnsi="Book Antiqua"/>
          <w:i w:val="1"/>
          <w:color w:val="000000"/>
          <w:sz w:val="24"/>
          <w:szCs w:val="24"/>
          <w:rtl w:val="0"/>
        </w:rPr>
        <w:t xml:space="preserve">Declaration of Principles on Freedom of Expression in Africa </w:t>
      </w:r>
      <w:r w:rsidDel="00000000" w:rsidR="00000000" w:rsidRPr="00000000">
        <w:rPr>
          <w:rFonts w:ascii="Book Antiqua" w:cs="Book Antiqua" w:eastAsia="Book Antiqua" w:hAnsi="Book Antiqua"/>
          <w:color w:val="000000"/>
          <w:sz w:val="24"/>
          <w:szCs w:val="24"/>
          <w:rtl w:val="0"/>
        </w:rPr>
        <w:t xml:space="preserve">(the Declaration) which supplements Article 9 of the African Charter, in particular, </w:t>
      </w:r>
      <w:r w:rsidDel="00000000" w:rsidR="00000000" w:rsidRPr="00000000">
        <w:rPr>
          <w:rFonts w:ascii="Book Antiqua" w:cs="Book Antiqua" w:eastAsia="Book Antiqua" w:hAnsi="Book Antiqua"/>
          <w:i w:val="1"/>
          <w:color w:val="000000"/>
          <w:sz w:val="24"/>
          <w:szCs w:val="24"/>
          <w:rtl w:val="0"/>
        </w:rPr>
        <w:t xml:space="preserve">Principles I (1) and II (2) </w:t>
      </w:r>
      <w:r w:rsidDel="00000000" w:rsidR="00000000" w:rsidRPr="00000000">
        <w:rPr>
          <w:rFonts w:ascii="Book Antiqua" w:cs="Book Antiqua" w:eastAsia="Book Antiqua" w:hAnsi="Book Antiqua"/>
          <w:color w:val="000000"/>
          <w:sz w:val="24"/>
          <w:szCs w:val="24"/>
          <w:rtl w:val="0"/>
        </w:rPr>
        <w:t xml:space="preserve">of the Declaration which provides that freedom of expression and information </w:t>
      </w:r>
      <w:r w:rsidDel="00000000" w:rsidR="00000000" w:rsidRPr="00000000">
        <w:rPr>
          <w:rFonts w:ascii="Book Antiqua" w:cs="Book Antiqua" w:eastAsia="Book Antiqua" w:hAnsi="Book Antiqua"/>
          <w:i w:val="1"/>
          <w:color w:val="000000"/>
          <w:sz w:val="24"/>
          <w:szCs w:val="24"/>
          <w:rtl w:val="0"/>
        </w:rPr>
        <w:t xml:space="preserve">is a fundamental and inalienable human right, whose restriction should be provided by law and serve a legitimate interest in a democratic society;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Letter of Appeal of 24 March 2014 by the Special Rapporteur on Freedom of Expression and Access to Information in Africa regarding the alleged arrest of Mr. Thulani Rudolf Maseko and Mr. Bheki Makhubu;</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Underlining </w:t>
      </w:r>
      <w:r w:rsidDel="00000000" w:rsidR="00000000" w:rsidRPr="00000000">
        <w:rPr>
          <w:rFonts w:ascii="Book Antiqua" w:cs="Book Antiqua" w:eastAsia="Book Antiqua" w:hAnsi="Book Antiqua"/>
          <w:i w:val="1"/>
          <w:color w:val="000000"/>
          <w:sz w:val="24"/>
          <w:szCs w:val="24"/>
          <w:rtl w:val="0"/>
        </w:rPr>
        <w:t xml:space="preserve">Principle XI (1) </w:t>
      </w:r>
      <w:r w:rsidDel="00000000" w:rsidR="00000000" w:rsidRPr="00000000">
        <w:rPr>
          <w:rFonts w:ascii="Book Antiqua" w:cs="Book Antiqua" w:eastAsia="Book Antiqua" w:hAnsi="Book Antiqua"/>
          <w:color w:val="000000"/>
          <w:sz w:val="24"/>
          <w:szCs w:val="24"/>
          <w:rtl w:val="0"/>
        </w:rPr>
        <w:t xml:space="preserve">of the Declaration, which provides that </w:t>
      </w:r>
      <w:r w:rsidDel="00000000" w:rsidR="00000000" w:rsidRPr="00000000">
        <w:rPr>
          <w:rFonts w:ascii="Book Antiqua" w:cs="Book Antiqua" w:eastAsia="Book Antiqua" w:hAnsi="Book Antiqua"/>
          <w:i w:val="1"/>
          <w:color w:val="000000"/>
          <w:sz w:val="24"/>
          <w:szCs w:val="24"/>
          <w:rtl w:val="0"/>
        </w:rPr>
        <w:t xml:space="preserve">“…intimidation of, and threats to media practitioners and others exercising their right to freedom of expression…undermines independent journalism, freedom of expression and the free flow of information to the public,”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i w:val="1"/>
          <w:color w:val="000000"/>
          <w:sz w:val="24"/>
          <w:szCs w:val="24"/>
          <w:rtl w:val="0"/>
        </w:rPr>
        <w:t xml:space="preserve">Principle XI (2) </w:t>
      </w:r>
      <w:r w:rsidDel="00000000" w:rsidR="00000000" w:rsidRPr="00000000">
        <w:rPr>
          <w:rFonts w:ascii="Book Antiqua" w:cs="Book Antiqua" w:eastAsia="Book Antiqua" w:hAnsi="Book Antiqua"/>
          <w:color w:val="000000"/>
          <w:sz w:val="24"/>
          <w:szCs w:val="24"/>
          <w:rtl w:val="0"/>
        </w:rPr>
        <w:t xml:space="preserve">which puts an obligation on State Parties “</w:t>
      </w:r>
      <w:r w:rsidDel="00000000" w:rsidR="00000000" w:rsidRPr="00000000">
        <w:rPr>
          <w:rFonts w:ascii="Book Antiqua" w:cs="Book Antiqua" w:eastAsia="Book Antiqua" w:hAnsi="Book Antiqua"/>
          <w:i w:val="1"/>
          <w:color w:val="000000"/>
          <w:sz w:val="24"/>
          <w:szCs w:val="24"/>
          <w:rtl w:val="0"/>
        </w:rPr>
        <w:t xml:space="preserve">to take effective measures to prevent such attacks and, when they do occur, to investigate them, to punish perpetrators and to ensure that victims have access to effective remedies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Resolutions on the Situation of Freedom of Expression in Africa, including: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ACHPR/Res.54(XXIX)01</w:t>
      </w:r>
      <w:r w:rsidDel="00000000" w:rsidR="00000000" w:rsidRPr="00000000">
        <w:rPr>
          <w:rFonts w:ascii="Book Antiqua" w:cs="Book Antiqua" w:eastAsia="Book Antiqua" w:hAnsi="Book Antiqua"/>
          <w:color w:val="000000"/>
          <w:sz w:val="24"/>
          <w:szCs w:val="24"/>
          <w:rtl w:val="0"/>
        </w:rPr>
        <w:t xml:space="preserve">, adopted during the 29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Tripoli, the Great Socialist Peoples’ Libyan Arab Jamahiriya, from 23 April to 07 May 2001;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ACHPR/Res.99(XXXX)06</w:t>
      </w:r>
      <w:r w:rsidDel="00000000" w:rsidR="00000000" w:rsidRPr="00000000">
        <w:rPr>
          <w:rFonts w:ascii="Book Antiqua" w:cs="Book Antiqua" w:eastAsia="Book Antiqua" w:hAnsi="Book Antiqua"/>
          <w:color w:val="000000"/>
          <w:sz w:val="24"/>
          <w:szCs w:val="24"/>
          <w:rtl w:val="0"/>
        </w:rPr>
        <w:t xml:space="preserve">, adopted during the 40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15 to 29 November 2006; and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ACHPR/Res.166(XLVII)10</w:t>
      </w:r>
      <w:r w:rsidDel="00000000" w:rsidR="00000000" w:rsidRPr="00000000">
        <w:rPr>
          <w:rFonts w:ascii="Book Antiqua" w:cs="Book Antiqua" w:eastAsia="Book Antiqua" w:hAnsi="Book Antiqua"/>
          <w:color w:val="000000"/>
          <w:sz w:val="24"/>
          <w:szCs w:val="24"/>
          <w:rtl w:val="0"/>
        </w:rPr>
        <w:t xml:space="preserve">, adopted during the 27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12 to 26 May 2010;</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58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w:t>
      </w:r>
      <w:r w:rsidDel="00000000" w:rsidR="00000000" w:rsidRPr="00000000">
        <w:rPr>
          <w:rFonts w:ascii="Book Antiqua" w:cs="Book Antiqua" w:eastAsia="Book Antiqua" w:hAnsi="Book Antiqua"/>
          <w:b w:val="1"/>
          <w:i w:val="1"/>
          <w:color w:val="000000"/>
          <w:sz w:val="24"/>
          <w:szCs w:val="24"/>
          <w:rtl w:val="0"/>
        </w:rPr>
        <w:t xml:space="preserve">ACHPR/Res.216(LI)2012: </w:t>
      </w:r>
      <w:r w:rsidDel="00000000" w:rsidR="00000000" w:rsidRPr="00000000">
        <w:rPr>
          <w:rFonts w:ascii="Book Antiqua" w:cs="Book Antiqua" w:eastAsia="Book Antiqua" w:hAnsi="Book Antiqua"/>
          <w:i w:val="1"/>
          <w:color w:val="000000"/>
          <w:sz w:val="24"/>
          <w:szCs w:val="24"/>
          <w:rtl w:val="0"/>
        </w:rPr>
        <w:t xml:space="preserve">Resolution on the Human Rights Situation in the Kingdom of Swaziland</w:t>
      </w:r>
      <w:r w:rsidDel="00000000" w:rsidR="00000000" w:rsidRPr="00000000">
        <w:rPr>
          <w:rFonts w:ascii="Book Antiqua" w:cs="Book Antiqua" w:eastAsia="Book Antiqua" w:hAnsi="Book Antiqua"/>
          <w:color w:val="000000"/>
          <w:sz w:val="24"/>
          <w:szCs w:val="24"/>
          <w:rtl w:val="0"/>
        </w:rPr>
        <w:t xml:space="preserve">, adopted during the 51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Ordinary Session, held in Banjul, The Gambia, from 18 April to 2 May 2012, which called on the Government of the Kingdom of Swaziland to respect the rights to freedom of expression, freedom of association, and freedom of assembly, and urged the Government to take all necessary measures to ensure the conduct of free, fair and credible elections in 2013;</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91" w:line="240" w:lineRule="auto"/>
        <w:ind w:left="477" w:right="58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Underscoring </w:t>
      </w:r>
      <w:r w:rsidDel="00000000" w:rsidR="00000000" w:rsidRPr="00000000">
        <w:rPr>
          <w:rFonts w:ascii="Book Antiqua" w:cs="Book Antiqua" w:eastAsia="Book Antiqua" w:hAnsi="Book Antiqua"/>
          <w:color w:val="000000"/>
          <w:sz w:val="24"/>
          <w:szCs w:val="24"/>
          <w:rtl w:val="0"/>
        </w:rPr>
        <w:t xml:space="preserve">the fundamental importance of freedom of expression and information as an individual human right, as a cornerstone of democracy and as a means of ensuring respect for all human rights and freedoms;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58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continuous allegations of the violation of the right to freedom of expression in general and in particular the conviction and sentencing of Mr. Thulani Rudolf Maseko, a prominent human rights lawyer, and Mr. Bheki Makhubu, a journalist in the Kingdom of Swaziland, in relation to articles published in </w:t>
      </w:r>
      <w:r w:rsidDel="00000000" w:rsidR="00000000" w:rsidRPr="00000000">
        <w:rPr>
          <w:rFonts w:ascii="Book Antiqua" w:cs="Book Antiqua" w:eastAsia="Book Antiqua" w:hAnsi="Book Antiqua"/>
          <w:i w:val="1"/>
          <w:color w:val="000000"/>
          <w:sz w:val="24"/>
          <w:szCs w:val="24"/>
          <w:rtl w:val="0"/>
        </w:rPr>
        <w:t xml:space="preserve">The Nation </w:t>
      </w:r>
      <w:r w:rsidDel="00000000" w:rsidR="00000000" w:rsidRPr="00000000">
        <w:rPr>
          <w:rFonts w:ascii="Book Antiqua" w:cs="Book Antiqua" w:eastAsia="Book Antiqua" w:hAnsi="Book Antiqua"/>
          <w:color w:val="000000"/>
          <w:sz w:val="24"/>
          <w:szCs w:val="24"/>
          <w:rtl w:val="0"/>
        </w:rPr>
        <w:t xml:space="preserve">Magazine in February and March 2014;</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248"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9">
      <w:pPr>
        <w:spacing w:after="0" w:line="240" w:lineRule="auto"/>
        <w:ind w:left="1440" w:right="584" w:hanging="462"/>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Calls on the Government of the Kingdom of Swaziland to respect, protect and fulfill the rights to freedom of expression, freedom of association, and freedom of assembly as provided for in the African Charter, the UDHR, the ICCPR and other international and regional human rights instruments;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B">
      <w:pPr>
        <w:tabs>
          <w:tab w:val="left" w:pos="720"/>
        </w:tabs>
        <w:spacing w:after="0" w:line="240" w:lineRule="auto"/>
        <w:ind w:left="1440" w:right="585" w:hanging="822"/>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w:t>
        <w:tab/>
        <w:t xml:space="preserve">Calls on the Government of the Kingdom of Swaziland to take the necessary measures to stop all acts of harassment and intimidation carried out against human rights defenders and media practitioners working in the Kingdom of Swaziland and to respect and guarantee their right to freedom of opinion and expression.</w:t>
      </w:r>
    </w:p>
    <w:p w:rsidR="00000000" w:rsidDel="00000000" w:rsidP="00000000" w:rsidRDefault="00000000" w:rsidRPr="00000000" w14:paraId="0000001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before="200" w:line="240" w:lineRule="auto"/>
        <w:ind w:left="498" w:right="89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Adopted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Peoples’ Rights held from 20 to 29 July 2014 in Kigali,</w:t>
      </w:r>
      <w:r w:rsidDel="00000000" w:rsidR="00000000" w:rsidRPr="00000000">
        <w:rPr>
          <w:rtl w:val="0"/>
        </w:rPr>
      </w:r>
    </w:p>
    <w:p w:rsidR="00000000" w:rsidDel="00000000" w:rsidP="00000000" w:rsidRDefault="00000000" w:rsidRPr="00000000" w14:paraId="0000001E">
      <w:pPr>
        <w:spacing w:after="0" w:before="144" w:line="240" w:lineRule="auto"/>
        <w:ind w:left="498" w:right="83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Republic of Rwanda</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E4CD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E4CDB"/>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DE4CDB"/>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PNPa3jZsjtsJEZpK0UROCQ13w==">AMUW2mVis9Zc/+9czW1SK1Cj5t0UH5h2aW4YLJd81U1TmEfj8TpsHdQa7m/HawYmQYswvWqvhUkUplS60c14LX0ZjGZYyHM0U6Nu27d/EBRsHigD3msBmsz5hSYPfeIYr8e1cGE0TPuM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2022-02-21T16:08:00Z</dcterms:created>
  <dc:creator>HOME</dc:creator>
</cp:coreProperties>
</file>