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1598" w:right="1000" w:hanging="1121"/>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ACHPR/Res.292 (EXT.OS/XVI) 2014: </w:t>
      </w:r>
      <w:r w:rsidDel="00000000" w:rsidR="00000000" w:rsidRPr="00000000">
        <w:rPr>
          <w:rFonts w:ascii="Book Antiqua" w:cs="Book Antiqua" w:eastAsia="Book Antiqua" w:hAnsi="Book Antiqua"/>
          <w:b w:val="1"/>
          <w:color w:val="000000"/>
          <w:sz w:val="24"/>
          <w:szCs w:val="24"/>
          <w:rtl w:val="0"/>
        </w:rPr>
        <w:t xml:space="preserve">Resolution on the Need to Conduct a Study on Child Marriage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16</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2014 in Kigali, Republic of Rwanda;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rights under the</w:t>
      </w:r>
    </w:p>
    <w:p w:rsidR="00000000" w:rsidDel="00000000" w:rsidP="00000000" w:rsidRDefault="00000000" w:rsidRPr="00000000" w14:paraId="00000006">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African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Article 45(1)(a) of the African Charter which gives the Commission the mandate to </w:t>
      </w:r>
      <w:r w:rsidDel="00000000" w:rsidR="00000000" w:rsidRPr="00000000">
        <w:rPr>
          <w:rFonts w:ascii="Book Antiqua" w:cs="Book Antiqua" w:eastAsia="Book Antiqua" w:hAnsi="Book Antiqua"/>
          <w:i w:val="1"/>
          <w:color w:val="000000"/>
          <w:sz w:val="24"/>
          <w:szCs w:val="24"/>
          <w:rtl w:val="0"/>
        </w:rPr>
        <w:t xml:space="preserve">inter alia </w:t>
      </w:r>
      <w:r w:rsidDel="00000000" w:rsidR="00000000" w:rsidRPr="00000000">
        <w:rPr>
          <w:rFonts w:ascii="Book Antiqua" w:cs="Book Antiqua" w:eastAsia="Book Antiqua" w:hAnsi="Book Antiqua"/>
          <w:color w:val="000000"/>
          <w:sz w:val="24"/>
          <w:szCs w:val="24"/>
          <w:rtl w:val="0"/>
        </w:rPr>
        <w:t xml:space="preserve">“collect documents, undertake studies and researches on African problems in the field of human and peoples’ rights”;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obligations of States Parties to the African Charter, the Protocol to the African Charter on Human and Peoples’ Rights on the Rights of Women in Africa (the Maputo Protocol), and the African Charter on the Rights and Welfare of the Child to protect and promote children’s rights, in particular the rights of girls in Africa;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in particular Article 6 of the Maputo Protocol which requires States to enact appropriate legislative measures to guarantee the full and free consent of both parties before marriage and set the age of 18 as the minimum age of marriage for women;</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despite the ratification by the majority of African States of these relevant legal instruments child marriage remains a common practice in many countries, in violation of the rights and welfare of the child, denying their basic rights to education, health, the right not to be separated from parents against their will, right to dignity, right to life, and protection against all forms of abuse and exploitation, including sexual exploitation;</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even where a minimum age of 18 is legislated, child marriage is still practiced in many countries as a result of harmful customary and religious practices;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objectives of the African Union Campaign launched on 29 May 2014 in Addis Ababa, Ethiopia, to end child marriage, focusing on policy action and raising continental awareness on child marriage which will run for an initial period of two years;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1" w:line="240" w:lineRule="auto"/>
        <w:ind w:left="477" w:right="87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of the need to strengthen the African Union Campaign through the conduct of a study which will provide an overview of the situation of child marriage in some countries by identifying the root causes, prevalence, practices, customs and beliefs that perpetuate child marriage, the level of compliance with international and regional obligations, legislative and policy framework, including best practices in addressing the same in selected countries;</w:t>
      </w:r>
      <w:r w:rsidDel="00000000" w:rsidR="00000000" w:rsidRPr="00000000">
        <w:rPr>
          <w:rtl w:val="0"/>
        </w:rPr>
      </w:r>
    </w:p>
    <w:p w:rsidR="00000000" w:rsidDel="00000000" w:rsidP="00000000" w:rsidRDefault="00000000" w:rsidRPr="00000000" w14:paraId="00000015">
      <w:pPr>
        <w:spacing w:after="0" w:before="239"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convinced </w:t>
      </w:r>
      <w:r w:rsidDel="00000000" w:rsidR="00000000" w:rsidRPr="00000000">
        <w:rPr>
          <w:rFonts w:ascii="Book Antiqua" w:cs="Book Antiqua" w:eastAsia="Book Antiqua" w:hAnsi="Book Antiqua"/>
          <w:color w:val="000000"/>
          <w:sz w:val="24"/>
          <w:szCs w:val="24"/>
          <w:rtl w:val="0"/>
        </w:rPr>
        <w:t xml:space="preserve">that such a study will assist State Parties and other stakeholders in strengthening implementation mechanisms and adopting appropriate plans of action and strategies for eradicating child marriage and protecting children’s human rights and in particular the rights of girls;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mandate of the Special Rapporteur on the Rights of Women in Africa (the Special Rapporteur) to </w:t>
      </w:r>
      <w:r w:rsidDel="00000000" w:rsidR="00000000" w:rsidRPr="00000000">
        <w:rPr>
          <w:rFonts w:ascii="Book Antiqua" w:cs="Book Antiqua" w:eastAsia="Book Antiqua" w:hAnsi="Book Antiqua"/>
          <w:i w:val="1"/>
          <w:color w:val="000000"/>
          <w:sz w:val="24"/>
          <w:szCs w:val="24"/>
          <w:rtl w:val="0"/>
        </w:rPr>
        <w:t xml:space="preserve">inter alia: </w:t>
      </w:r>
      <w:r w:rsidDel="00000000" w:rsidR="00000000" w:rsidRPr="00000000">
        <w:rPr>
          <w:rFonts w:ascii="Book Antiqua" w:cs="Book Antiqua" w:eastAsia="Book Antiqua" w:hAnsi="Book Antiqua"/>
          <w:color w:val="000000"/>
          <w:sz w:val="24"/>
          <w:szCs w:val="24"/>
          <w:rtl w:val="0"/>
        </w:rPr>
        <w:t xml:space="preserve">follow up on the implementation of the African Charter and the Maputo Protocol by State Parties;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Decides to:</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1436" w:right="877"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Conduct a study on child marriage in Africa which will cover the following countries where the level of child marriage is considered to be very high: Burkina Faso, Cameroon, Chad, Ethiopia, Mauritania, Malawi, Mozambique, Niger, Sierra Leone and Zambia;</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20"/>
        </w:tabs>
        <w:spacing w:after="0" w:line="240" w:lineRule="auto"/>
        <w:ind w:left="1440" w:right="877" w:hanging="604"/>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w:t>
        <w:tab/>
        <w:t xml:space="preserve">Task the Special Rapporteur to conduct the study and submit a report at its 57</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720"/>
        </w:tabs>
        <w:spacing w:after="0" w:line="240" w:lineRule="auto"/>
        <w:ind w:left="1436" w:right="879" w:hanging="60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iii.</w:t>
        <w:tab/>
        <w:t xml:space="preserve">Request the African Committee of Experts on the Rights and Welfare of the Child and the Centre for Human Rights of the University of Pretoria to contribute their support and expertise to the conduct of the study; and</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720"/>
        </w:tabs>
        <w:spacing w:after="0" w:line="240" w:lineRule="auto"/>
        <w:ind w:left="1196" w:right="667.7952755905511"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iv.</w:t>
        <w:tab/>
        <w:t xml:space="preserve">Call on all stakeholders to support the work of the Special </w:t>
        <w:tab/>
        <w:tab/>
        <w:t xml:space="preserve">Rapporteur.</w:t>
      </w:r>
    </w:p>
    <w:p w:rsidR="00000000" w:rsidDel="00000000" w:rsidP="00000000" w:rsidRDefault="00000000" w:rsidRPr="00000000" w14:paraId="0000002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498" w:right="896"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20 to 29 July 2014 in Kigali, Republic of Rwanda</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8600F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600F7"/>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8600F7"/>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4KEOr2O7F/Vh5lygEAdp/PfN2g==">AMUW2mUHBuOW5fjgRA+yJgDQaGQOFq8Kmc71R5KauklbyRpCm/XojqK/GaD8ES0dHQ59EEuLjUQ0Dfb1lzUzouXmJnTDUshVCxCyLkQL9W5GrE185GVEr4HO3vLLNjGbrO0xUOZLFMGc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2022-02-21T16:25:00Z</dcterms:created>
  <dc:creator>HOME</dc:creator>
</cp:coreProperties>
</file>