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8"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ACHPR/Res.303 (LVI) 2015 </w:t>
      </w:r>
      <w:r w:rsidDel="00000000" w:rsidR="00000000" w:rsidRPr="00000000">
        <w:rPr>
          <w:rFonts w:ascii="Book Antiqua" w:cs="Book Antiqua" w:eastAsia="Book Antiqua" w:hAnsi="Book Antiqua"/>
          <w:b w:val="1"/>
          <w:color w:val="000000"/>
          <w:sz w:val="24"/>
          <w:szCs w:val="24"/>
          <w:rtl w:val="0"/>
        </w:rPr>
        <w:t xml:space="preserve">Resolution on the Right to Rehabilitation for Victims of Torture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9" w:firstLine="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21 April to 7 May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5 of the African Charter which enshrines the right to the respect of the dignity inherent in a human being and prohibits all forms of exploitation and degradation of man, particularly slavery, slave trade, torture, cruel, inhuman or degrading punishment and treatment;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Guidelines and Measures for the Prohibition and Prevention of Torture and Cruel, Inhuman or Degrading Treatment or Punishment in Africa (The Robben Island Guidelines), in particular the obligation to ensure that all victims of torture and their dependants are offered appropriate medical care, have access to appropriate social and medical rehabilitation and are provided with appropriate levels of compensation and support;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while reparation components including restitution, compensation, satisfaction and guarantees of non-repetition are well defined, the concept of rehabilitation lacks clarity;</w:t>
      </w:r>
      <w:r w:rsidDel="00000000" w:rsidR="00000000" w:rsidRPr="00000000">
        <w:rPr>
          <w:rtl w:val="0"/>
        </w:rPr>
      </w:r>
    </w:p>
    <w:p w:rsidR="00000000" w:rsidDel="00000000" w:rsidP="00000000" w:rsidRDefault="00000000" w:rsidRPr="00000000" w14:paraId="0000000C">
      <w:pPr>
        <w:spacing w:after="0" w:before="16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rehabilitation includes medical and psychological care as well as available and adequate legal and social services;</w:t>
      </w:r>
      <w:r w:rsidDel="00000000" w:rsidR="00000000" w:rsidRPr="00000000">
        <w:rPr>
          <w:rtl w:val="0"/>
        </w:rPr>
      </w:r>
    </w:p>
    <w:p w:rsidR="00000000" w:rsidDel="00000000" w:rsidP="00000000" w:rsidRDefault="00000000" w:rsidRPr="00000000" w14:paraId="0000000D">
      <w:pPr>
        <w:spacing w:after="0" w:before="16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that rehabilitation services are inadequate and unable to reach all potential victims of torture, primarily due to financial constraints;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persisting acts of torture with impunity and the lack of understanding with regards to the needs of victims of torture, particularly rehabilitation;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lengthy court processes which adversely affect the rehabilitation of torture victims;</w:t>
      </w:r>
      <w:r w:rsidDel="00000000" w:rsidR="00000000" w:rsidRPr="00000000">
        <w:rPr>
          <w:rtl w:val="0"/>
        </w:rPr>
      </w:r>
    </w:p>
    <w:p w:rsidR="00000000" w:rsidDel="00000000" w:rsidP="00000000" w:rsidRDefault="00000000" w:rsidRPr="00000000" w14:paraId="00000012">
      <w:pPr>
        <w:spacing w:after="0" w:before="16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the traumatic experiences of victims of torture makes it difficult for their proper reintegration into society;</w:t>
      </w:r>
      <w:r w:rsidDel="00000000" w:rsidR="00000000" w:rsidRPr="00000000">
        <w:rPr>
          <w:rtl w:val="0"/>
        </w:rPr>
      </w:r>
    </w:p>
    <w:p w:rsidR="00000000" w:rsidDel="00000000" w:rsidP="00000000" w:rsidRDefault="00000000" w:rsidRPr="00000000" w14:paraId="00000013">
      <w:pPr>
        <w:spacing w:after="0" w:before="160"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mindful </w:t>
      </w:r>
      <w:r w:rsidDel="00000000" w:rsidR="00000000" w:rsidRPr="00000000">
        <w:rPr>
          <w:rFonts w:ascii="Book Antiqua" w:cs="Book Antiqua" w:eastAsia="Book Antiqua" w:hAnsi="Book Antiqua"/>
          <w:color w:val="000000"/>
          <w:sz w:val="24"/>
          <w:szCs w:val="24"/>
          <w:rtl w:val="0"/>
        </w:rPr>
        <w:t xml:space="preserve">that torture affects not only direct victims, but also families and communities;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240"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there is an urgent need for effective institutional mechanisms to ensure that victims of torture are able to access appropriate rehabilitation services;</w:t>
      </w:r>
      <w:r w:rsidDel="00000000" w:rsidR="00000000" w:rsidRPr="00000000">
        <w:rPr>
          <w:rtl w:val="0"/>
        </w:rPr>
      </w:r>
    </w:p>
    <w:p w:rsidR="00000000" w:rsidDel="00000000" w:rsidP="00000000" w:rsidRDefault="00000000" w:rsidRPr="00000000" w14:paraId="00000016">
      <w:pPr>
        <w:spacing w:after="0" w:before="16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numPr>
          <w:ilvl w:val="0"/>
          <w:numId w:val="1"/>
        </w:numPr>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 Parties to implement domestic laws prohibiting torture and to include clear provisions on the obligation to provide rehabilitation for victims of torture, in line with regional and international standards;</w:t>
      </w:r>
    </w:p>
    <w:p w:rsidR="00000000" w:rsidDel="00000000" w:rsidP="00000000" w:rsidRDefault="00000000" w:rsidRPr="00000000" w14:paraId="00000019">
      <w:pPr>
        <w:numPr>
          <w:ilvl w:val="0"/>
          <w:numId w:val="1"/>
        </w:numPr>
        <w:spacing w:after="0"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 Parties to ensure that all victims of torture and their dependants are offered appropriate medical care, have access to appropriate social rehabilitation and are provided with adequate compensation;</w:t>
      </w:r>
    </w:p>
    <w:p w:rsidR="00000000" w:rsidDel="00000000" w:rsidP="00000000" w:rsidRDefault="00000000" w:rsidRPr="00000000" w14:paraId="0000001A">
      <w:pPr>
        <w:numPr>
          <w:ilvl w:val="0"/>
          <w:numId w:val="1"/>
        </w:numPr>
        <w:spacing w:after="0" w:line="240" w:lineRule="auto"/>
        <w:ind w:left="119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State Parties which are undergoing transitional justice processes to include explicit provisions on the rehabilitation of victims of torture;</w:t>
      </w:r>
    </w:p>
    <w:p w:rsidR="00000000" w:rsidDel="00000000" w:rsidP="00000000" w:rsidRDefault="00000000" w:rsidRPr="00000000" w14:paraId="0000001B">
      <w:pPr>
        <w:numPr>
          <w:ilvl w:val="0"/>
          <w:numId w:val="1"/>
        </w:numPr>
        <w:spacing w:after="0"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 Parties to guarantee the right to justice and ensure that perpetrators of torture are brought to justice;</w:t>
      </w:r>
    </w:p>
    <w:p w:rsidR="00000000" w:rsidDel="00000000" w:rsidP="00000000" w:rsidRDefault="00000000" w:rsidRPr="00000000" w14:paraId="0000001C">
      <w:pPr>
        <w:numPr>
          <w:ilvl w:val="0"/>
          <w:numId w:val="1"/>
        </w:numPr>
        <w:spacing w:after="0"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regional and international organisations, civil society and other actors to provide State Parties with the necessary support to meet the needs of victims of torture;</w:t>
      </w:r>
    </w:p>
    <w:p w:rsidR="00000000" w:rsidDel="00000000" w:rsidP="00000000" w:rsidRDefault="00000000" w:rsidRPr="00000000" w14:paraId="0000001D">
      <w:pPr>
        <w:numPr>
          <w:ilvl w:val="0"/>
          <w:numId w:val="1"/>
        </w:numPr>
        <w:spacing w:after="0"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State Parties to put into practice the provisions of the Robben Island Guidelines;</w:t>
      </w:r>
    </w:p>
    <w:p w:rsidR="00000000" w:rsidDel="00000000" w:rsidP="00000000" w:rsidRDefault="00000000" w:rsidRPr="00000000" w14:paraId="0000001E">
      <w:pPr>
        <w:numPr>
          <w:ilvl w:val="0"/>
          <w:numId w:val="1"/>
        </w:numPr>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 Parties which have not done so to ratify and implement the United Nations Convention against Torture (CAT) and its Optional Protocol (OPCAT);</w:t>
      </w:r>
    </w:p>
    <w:p w:rsidR="00000000" w:rsidDel="00000000" w:rsidP="00000000" w:rsidRDefault="00000000" w:rsidRPr="00000000" w14:paraId="0000001F">
      <w:pPr>
        <w:numPr>
          <w:ilvl w:val="0"/>
          <w:numId w:val="1"/>
        </w:numPr>
        <w:spacing w:after="0" w:before="1"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Undertakes </w:t>
      </w:r>
      <w:r w:rsidDel="00000000" w:rsidR="00000000" w:rsidRPr="00000000">
        <w:rPr>
          <w:rFonts w:ascii="Book Antiqua" w:cs="Book Antiqua" w:eastAsia="Book Antiqua" w:hAnsi="Book Antiqua"/>
          <w:color w:val="000000"/>
          <w:sz w:val="24"/>
          <w:szCs w:val="24"/>
          <w:rtl w:val="0"/>
        </w:rPr>
        <w:t xml:space="preserve">to work with State Parties and other relevant actors to ensure rehabilitation for victims of torture, in particular through the adoption and implementation of national strategies.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7 May 2015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C7F1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C7F14"/>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C7F1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DzEKEAQm0Ft/L31JSUWsKRQ8A==">AMUW2mUkO1t1Clv8ZRH6sJgcXwuzowBy/a3/hECUhIl7uGUAC9n+UPV5EWkPyg9GQO7doLXJ1WSa5rjco5oZ4M6fKZ9ajq30wxTqI0GUJ1xkA4IQCf3Du5EHjA5oIaFYih7Y8KIei8XE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2022-02-21T17:19:00Z</dcterms:created>
  <dc:creator>HOME</dc:creator>
</cp:coreProperties>
</file>