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47" w:rsidRPr="00367447" w:rsidRDefault="00367447" w:rsidP="00367447">
      <w:pPr>
        <w:spacing w:before="240" w:after="0" w:line="240" w:lineRule="auto"/>
        <w:ind w:left="1219" w:right="1364" w:hanging="742"/>
        <w:jc w:val="both"/>
        <w:outlineLvl w:val="3"/>
        <w:rPr>
          <w:rFonts w:ascii="Times New Roman" w:eastAsia="Times New Roman" w:hAnsi="Times New Roman" w:cs="Times New Roman"/>
          <w:b/>
          <w:bCs/>
          <w:sz w:val="24"/>
          <w:szCs w:val="24"/>
          <w:lang w:eastAsia="en-ZA"/>
        </w:rPr>
      </w:pPr>
      <w:r w:rsidRPr="00367447">
        <w:rPr>
          <w:rFonts w:ascii="Book Antiqua" w:eastAsia="Times New Roman" w:hAnsi="Book Antiqua" w:cs="Times New Roman"/>
          <w:b/>
          <w:bCs/>
          <w:color w:val="000000"/>
          <w:sz w:val="24"/>
          <w:szCs w:val="24"/>
          <w:lang w:eastAsia="en-ZA"/>
        </w:rPr>
        <w:t>ACHPR/</w:t>
      </w:r>
      <w:bookmarkStart w:id="0" w:name="_GoBack"/>
      <w:r w:rsidRPr="00367447">
        <w:rPr>
          <w:rFonts w:ascii="Book Antiqua" w:eastAsia="Times New Roman" w:hAnsi="Book Antiqua" w:cs="Times New Roman"/>
          <w:b/>
          <w:bCs/>
          <w:color w:val="000000"/>
          <w:sz w:val="24"/>
          <w:szCs w:val="24"/>
          <w:lang w:eastAsia="en-ZA"/>
        </w:rPr>
        <w:t xml:space="preserve">Res.307 </w:t>
      </w:r>
      <w:r w:rsidRPr="00367447">
        <w:rPr>
          <w:rFonts w:ascii="Book Antiqua" w:eastAsia="Times New Roman" w:hAnsi="Book Antiqua" w:cs="Times New Roman"/>
          <w:b/>
          <w:bCs/>
          <w:color w:val="000000"/>
          <w:sz w:val="24"/>
          <w:szCs w:val="24"/>
          <w:u w:val="single"/>
          <w:lang w:eastAsia="en-ZA"/>
        </w:rPr>
        <w:t>(</w:t>
      </w:r>
      <w:r w:rsidRPr="00367447">
        <w:rPr>
          <w:rFonts w:ascii="Book Antiqua" w:eastAsia="Times New Roman" w:hAnsi="Book Antiqua" w:cs="Times New Roman"/>
          <w:b/>
          <w:bCs/>
          <w:color w:val="000000"/>
          <w:sz w:val="24"/>
          <w:szCs w:val="24"/>
          <w:lang w:eastAsia="en-ZA"/>
        </w:rPr>
        <w:t>EXT.OS/</w:t>
      </w:r>
      <w:r>
        <w:rPr>
          <w:rFonts w:ascii="Book Antiqua" w:eastAsia="Times New Roman" w:hAnsi="Book Antiqua" w:cs="Times New Roman"/>
          <w:b/>
          <w:bCs/>
          <w:color w:val="000000"/>
          <w:sz w:val="24"/>
          <w:szCs w:val="24"/>
          <w:lang w:eastAsia="en-ZA"/>
        </w:rPr>
        <w:t xml:space="preserve"> XVIII) 2015</w:t>
      </w:r>
      <w:bookmarkEnd w:id="0"/>
      <w:r>
        <w:rPr>
          <w:rFonts w:ascii="Book Antiqua" w:eastAsia="Times New Roman" w:hAnsi="Book Antiqua" w:cs="Times New Roman"/>
          <w:b/>
          <w:bCs/>
          <w:color w:val="000000"/>
          <w:sz w:val="24"/>
          <w:szCs w:val="24"/>
          <w:lang w:eastAsia="en-ZA"/>
        </w:rPr>
        <w:t xml:space="preserve">: Resolution on the </w:t>
      </w:r>
      <w:r w:rsidRPr="00367447">
        <w:rPr>
          <w:rFonts w:ascii="Book Antiqua" w:eastAsia="Times New Roman" w:hAnsi="Book Antiqua" w:cs="Times New Roman"/>
          <w:b/>
          <w:bCs/>
          <w:color w:val="000000"/>
          <w:sz w:val="24"/>
          <w:szCs w:val="24"/>
          <w:lang w:eastAsia="en-ZA"/>
        </w:rPr>
        <w:t>Development of Guidelines on Access to Information and Elections in Africa</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after="0" w:line="240" w:lineRule="auto"/>
        <w:ind w:left="477" w:right="873"/>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i/>
          <w:iCs/>
          <w:color w:val="000000"/>
          <w:sz w:val="24"/>
          <w:szCs w:val="24"/>
          <w:lang w:eastAsia="en-ZA"/>
        </w:rPr>
        <w:t>The African Commission on Human and Peoples’ Rights meeting at its 18</w:t>
      </w:r>
      <w:r w:rsidRPr="00367447">
        <w:rPr>
          <w:rFonts w:ascii="Book Antiqua" w:eastAsia="Times New Roman" w:hAnsi="Book Antiqua" w:cs="Times New Roman"/>
          <w:i/>
          <w:iCs/>
          <w:color w:val="000000"/>
          <w:sz w:val="16"/>
          <w:szCs w:val="16"/>
          <w:vertAlign w:val="superscript"/>
          <w:lang w:eastAsia="en-ZA"/>
        </w:rPr>
        <w:t xml:space="preserve">th </w:t>
      </w:r>
      <w:r w:rsidRPr="00367447">
        <w:rPr>
          <w:rFonts w:ascii="Book Antiqua" w:eastAsia="Times New Roman" w:hAnsi="Book Antiqua" w:cs="Times New Roman"/>
          <w:i/>
          <w:iCs/>
          <w:color w:val="000000"/>
          <w:sz w:val="24"/>
          <w:szCs w:val="24"/>
          <w:lang w:eastAsia="en-ZA"/>
        </w:rPr>
        <w:t>Extra-Ordinary Session held in Nairobi, Kenya from 29 July to 07 August 2015;</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before="1" w:after="0" w:line="240" w:lineRule="auto"/>
        <w:ind w:left="477" w:right="877"/>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b/>
          <w:bCs/>
          <w:color w:val="000000"/>
          <w:sz w:val="24"/>
          <w:szCs w:val="24"/>
          <w:lang w:eastAsia="en-ZA"/>
        </w:rPr>
        <w:t xml:space="preserve">Recalling </w:t>
      </w:r>
      <w:r w:rsidRPr="00367447">
        <w:rPr>
          <w:rFonts w:ascii="Book Antiqua" w:eastAsia="Times New Roman" w:hAnsi="Book Antiqua" w:cs="Times New Roman"/>
          <w:color w:val="000000"/>
          <w:sz w:val="24"/>
          <w:szCs w:val="24"/>
          <w:lang w:eastAsia="en-ZA"/>
        </w:rPr>
        <w:t>its mandate to promote human and peoples’ rights in accordance with Article 45 of the African Charter on Human and Peoples’ Rights (the African Charter);</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after="0" w:line="240" w:lineRule="auto"/>
        <w:ind w:left="477" w:right="878"/>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b/>
          <w:bCs/>
          <w:color w:val="000000"/>
          <w:sz w:val="24"/>
          <w:szCs w:val="24"/>
          <w:lang w:eastAsia="en-ZA"/>
        </w:rPr>
        <w:t xml:space="preserve">Recalling further </w:t>
      </w:r>
      <w:r w:rsidRPr="00367447">
        <w:rPr>
          <w:rFonts w:ascii="Book Antiqua" w:eastAsia="Times New Roman" w:hAnsi="Book Antiqua" w:cs="Times New Roman"/>
          <w:color w:val="000000"/>
          <w:sz w:val="24"/>
          <w:szCs w:val="24"/>
          <w:lang w:eastAsia="en-ZA"/>
        </w:rPr>
        <w:t>Article 13(1) of the African Charter which provides that ‘every citizen shall have the right to participate freely in the government of his country, either directly or through freely chosen representatives in accordance with the provisions of the law;’</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before="1" w:after="0" w:line="240" w:lineRule="auto"/>
        <w:ind w:left="477" w:right="1105"/>
        <w:rPr>
          <w:rFonts w:ascii="Times New Roman" w:eastAsia="Times New Roman" w:hAnsi="Times New Roman" w:cs="Times New Roman"/>
          <w:sz w:val="24"/>
          <w:szCs w:val="24"/>
          <w:lang w:eastAsia="en-ZA"/>
        </w:rPr>
      </w:pPr>
      <w:r w:rsidRPr="00367447">
        <w:rPr>
          <w:rFonts w:ascii="Book Antiqua" w:eastAsia="Times New Roman" w:hAnsi="Book Antiqua" w:cs="Times New Roman"/>
          <w:b/>
          <w:bCs/>
          <w:color w:val="000000"/>
          <w:sz w:val="24"/>
          <w:szCs w:val="24"/>
          <w:lang w:eastAsia="en-ZA"/>
        </w:rPr>
        <w:t xml:space="preserve">Underscoring </w:t>
      </w:r>
      <w:r w:rsidRPr="00367447">
        <w:rPr>
          <w:rFonts w:ascii="Book Antiqua" w:eastAsia="Times New Roman" w:hAnsi="Book Antiqua" w:cs="Times New Roman"/>
          <w:color w:val="000000"/>
          <w:sz w:val="24"/>
          <w:szCs w:val="24"/>
          <w:lang w:eastAsia="en-ZA"/>
        </w:rPr>
        <w:t>its previous resolutions on elections and participatory governance in Africa, in particular: Resolutions ACHPR/Res.23(XIX)1996; ACHPR/Res.184(EXT.OS/IX)2011; ACHPR/Res.232(EXT.OS/XIII)2013; ACHPR/Res.239(EXT.OS/XIV)2013; ACHPR/Res.272(LV) 2014; and ACHPR Res. ACHPR/Res.293(EXT.OS/xvii)2015;</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after="0" w:line="240" w:lineRule="auto"/>
        <w:ind w:left="477" w:right="876"/>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b/>
          <w:bCs/>
          <w:color w:val="000000"/>
          <w:sz w:val="24"/>
          <w:szCs w:val="24"/>
          <w:lang w:eastAsia="en-ZA"/>
        </w:rPr>
        <w:t xml:space="preserve">Reaffirming </w:t>
      </w:r>
      <w:r w:rsidRPr="00367447">
        <w:rPr>
          <w:rFonts w:ascii="Book Antiqua" w:eastAsia="Times New Roman" w:hAnsi="Book Antiqua" w:cs="Times New Roman"/>
          <w:color w:val="000000"/>
          <w:sz w:val="24"/>
          <w:szCs w:val="24"/>
          <w:lang w:eastAsia="en-ZA"/>
        </w:rPr>
        <w:t>the importance of peaceful, free, fair and transparent elections and referenda, for the maintenance of peace and security in Africa;</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after="0" w:line="240" w:lineRule="auto"/>
        <w:ind w:left="477" w:right="874"/>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b/>
          <w:bCs/>
          <w:color w:val="000000"/>
          <w:sz w:val="24"/>
          <w:szCs w:val="24"/>
          <w:lang w:eastAsia="en-ZA"/>
        </w:rPr>
        <w:t xml:space="preserve">Recognizing </w:t>
      </w:r>
      <w:r w:rsidRPr="00367447">
        <w:rPr>
          <w:rFonts w:ascii="Book Antiqua" w:eastAsia="Times New Roman" w:hAnsi="Book Antiqua" w:cs="Times New Roman"/>
          <w:color w:val="000000"/>
          <w:sz w:val="24"/>
          <w:szCs w:val="24"/>
          <w:lang w:eastAsia="en-ZA"/>
        </w:rPr>
        <w:t>the right of access to information as enshrined in Article 9 of the African Charter, as further elaborated by Resolution ACHPR/Res.62 (XXXII) 02 on the adoption of the Declaration of Principles on Freedom of Expression in Africa of 2002;</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after="0" w:line="240" w:lineRule="auto"/>
        <w:ind w:left="477" w:right="875"/>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b/>
          <w:bCs/>
          <w:color w:val="000000"/>
          <w:sz w:val="24"/>
          <w:szCs w:val="24"/>
          <w:lang w:eastAsia="en-ZA"/>
        </w:rPr>
        <w:t xml:space="preserve">Mindful </w:t>
      </w:r>
      <w:r w:rsidRPr="00367447">
        <w:rPr>
          <w:rFonts w:ascii="Book Antiqua" w:eastAsia="Times New Roman" w:hAnsi="Book Antiqua" w:cs="Times New Roman"/>
          <w:color w:val="000000"/>
          <w:sz w:val="24"/>
          <w:szCs w:val="24"/>
          <w:lang w:eastAsia="en-ZA"/>
        </w:rPr>
        <w:t>of the importance of the right of access to information as an essential tool for strengthening democracy, good governance and citizen participation in public affairs, which are in themselves, indispensable to the creation of a conducive environment for free, fair and transparent elections;</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before="1" w:after="0" w:line="240" w:lineRule="auto"/>
        <w:ind w:left="477" w:right="876"/>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b/>
          <w:bCs/>
          <w:color w:val="000000"/>
          <w:sz w:val="24"/>
          <w:szCs w:val="24"/>
          <w:lang w:eastAsia="en-ZA"/>
        </w:rPr>
        <w:t xml:space="preserve">Cognizant </w:t>
      </w:r>
      <w:r w:rsidRPr="00367447">
        <w:rPr>
          <w:rFonts w:ascii="Book Antiqua" w:eastAsia="Times New Roman" w:hAnsi="Book Antiqua" w:cs="Times New Roman"/>
          <w:color w:val="000000"/>
          <w:sz w:val="24"/>
          <w:szCs w:val="24"/>
          <w:lang w:eastAsia="en-ZA"/>
        </w:rPr>
        <w:t>that the African Charter on Democracy, Elections and Governance recognizes the need to promote best practices in the management of regular, transparent, free and fair elections for the purposes of political stability and good governance in Africa;</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after="0" w:line="240" w:lineRule="auto"/>
        <w:ind w:left="477" w:right="877"/>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b/>
          <w:bCs/>
          <w:color w:val="000000"/>
          <w:sz w:val="24"/>
          <w:szCs w:val="24"/>
          <w:lang w:eastAsia="en-ZA"/>
        </w:rPr>
        <w:t xml:space="preserve">Concerned </w:t>
      </w:r>
      <w:r w:rsidRPr="00367447">
        <w:rPr>
          <w:rFonts w:ascii="Book Antiqua" w:eastAsia="Times New Roman" w:hAnsi="Book Antiqua" w:cs="Times New Roman"/>
          <w:color w:val="000000"/>
          <w:sz w:val="24"/>
          <w:szCs w:val="24"/>
          <w:lang w:eastAsia="en-ZA"/>
        </w:rPr>
        <w:t xml:space="preserve">that there exists no regional standard on the role of access to information in the electoral process, as a means of guaranteeing the </w:t>
      </w:r>
      <w:r w:rsidRPr="00367447">
        <w:rPr>
          <w:rFonts w:ascii="Book Antiqua" w:eastAsia="Times New Roman" w:hAnsi="Book Antiqua" w:cs="Times New Roman"/>
          <w:color w:val="000000"/>
          <w:sz w:val="24"/>
          <w:szCs w:val="24"/>
          <w:lang w:eastAsia="en-ZA"/>
        </w:rPr>
        <w:lastRenderedPageBreak/>
        <w:t>credibility of elections in Member States and the overall strengthening of democratic governance in Africa;</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after="0" w:line="240" w:lineRule="auto"/>
        <w:ind w:left="477"/>
        <w:jc w:val="both"/>
        <w:rPr>
          <w:rFonts w:ascii="Times New Roman" w:eastAsia="Times New Roman" w:hAnsi="Times New Roman" w:cs="Times New Roman"/>
          <w:sz w:val="24"/>
          <w:szCs w:val="24"/>
          <w:lang w:eastAsia="en-ZA"/>
        </w:rPr>
      </w:pPr>
      <w:r w:rsidRPr="00367447">
        <w:rPr>
          <w:rFonts w:ascii="Book Antiqua" w:eastAsia="Times New Roman" w:hAnsi="Book Antiqua" w:cs="Times New Roman"/>
          <w:color w:val="000000"/>
          <w:sz w:val="24"/>
          <w:szCs w:val="24"/>
          <w:lang w:eastAsia="en-ZA"/>
        </w:rPr>
        <w:t>The Commission:</w:t>
      </w:r>
    </w:p>
    <w:p w:rsidR="00367447" w:rsidRPr="00367447" w:rsidRDefault="00367447" w:rsidP="00367447">
      <w:pPr>
        <w:spacing w:after="240" w:line="240" w:lineRule="auto"/>
        <w:rPr>
          <w:rFonts w:ascii="Times New Roman" w:eastAsia="Times New Roman" w:hAnsi="Times New Roman" w:cs="Times New Roman"/>
          <w:sz w:val="24"/>
          <w:szCs w:val="24"/>
          <w:lang w:eastAsia="en-ZA"/>
        </w:rPr>
      </w:pPr>
    </w:p>
    <w:p w:rsidR="00367447" w:rsidRDefault="00367447" w:rsidP="00367447">
      <w:pPr>
        <w:spacing w:before="239" w:after="0" w:line="240" w:lineRule="auto"/>
        <w:ind w:left="1440" w:right="875" w:hanging="462"/>
        <w:jc w:val="both"/>
        <w:textAlignment w:val="baseline"/>
        <w:rPr>
          <w:rFonts w:ascii="Book Antiqua" w:eastAsia="Times New Roman" w:hAnsi="Book Antiqua" w:cs="Times New Roman"/>
          <w:color w:val="000000"/>
          <w:sz w:val="24"/>
          <w:szCs w:val="24"/>
          <w:lang w:eastAsia="en-ZA"/>
        </w:rPr>
      </w:pPr>
      <w:proofErr w:type="spellStart"/>
      <w:proofErr w:type="gramStart"/>
      <w:r w:rsidRPr="00367447">
        <w:rPr>
          <w:rFonts w:ascii="Book Antiqua" w:eastAsia="Times New Roman" w:hAnsi="Book Antiqua" w:cs="Times New Roman"/>
          <w:color w:val="000000"/>
          <w:sz w:val="24"/>
          <w:szCs w:val="24"/>
          <w:lang w:eastAsia="en-ZA"/>
        </w:rPr>
        <w:t>i</w:t>
      </w:r>
      <w:proofErr w:type="spellEnd"/>
      <w:proofErr w:type="gramEnd"/>
      <w:r w:rsidRPr="00367447">
        <w:rPr>
          <w:rFonts w:ascii="Book Antiqua" w:eastAsia="Times New Roman" w:hAnsi="Book Antiqua" w:cs="Times New Roman"/>
          <w:color w:val="000000"/>
          <w:sz w:val="24"/>
          <w:szCs w:val="24"/>
          <w:lang w:eastAsia="en-ZA"/>
        </w:rPr>
        <w:t>.</w:t>
      </w:r>
      <w:r w:rsidRPr="00367447">
        <w:rPr>
          <w:rFonts w:ascii="Book Antiqua" w:eastAsia="Times New Roman" w:hAnsi="Book Antiqua" w:cs="Times New Roman"/>
          <w:color w:val="000000"/>
          <w:sz w:val="24"/>
          <w:szCs w:val="24"/>
          <w:lang w:eastAsia="en-ZA"/>
        </w:rPr>
        <w:tab/>
        <w:t>Calls on the Special Rapporteur on Freedom of Expression and Access to Information (the Special Rapporteur) to develop Guidelines on Access to Information and Elections;</w:t>
      </w:r>
    </w:p>
    <w:p w:rsidR="00367447" w:rsidRPr="00367447" w:rsidRDefault="00367447" w:rsidP="00367447">
      <w:pPr>
        <w:spacing w:before="239" w:after="0" w:line="240" w:lineRule="auto"/>
        <w:ind w:left="1440" w:right="875" w:hanging="462"/>
        <w:jc w:val="both"/>
        <w:textAlignment w:val="baseline"/>
        <w:rPr>
          <w:rFonts w:ascii="Book Antiqua" w:eastAsia="Times New Roman" w:hAnsi="Book Antiqua" w:cs="Times New Roman"/>
          <w:color w:val="000000"/>
          <w:sz w:val="24"/>
          <w:szCs w:val="24"/>
          <w:lang w:eastAsia="en-ZA"/>
        </w:rPr>
      </w:pPr>
    </w:p>
    <w:p w:rsidR="00367447" w:rsidRDefault="00367447" w:rsidP="00367447">
      <w:pPr>
        <w:tabs>
          <w:tab w:val="left" w:pos="720"/>
        </w:tabs>
        <w:spacing w:after="0" w:line="240" w:lineRule="auto"/>
        <w:ind w:left="977" w:hanging="36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r w:rsidRPr="00367447">
        <w:rPr>
          <w:rFonts w:ascii="Book Antiqua" w:eastAsia="Times New Roman" w:hAnsi="Book Antiqua" w:cs="Times New Roman"/>
          <w:color w:val="000000"/>
          <w:sz w:val="24"/>
          <w:szCs w:val="24"/>
          <w:lang w:eastAsia="en-ZA"/>
        </w:rPr>
        <w:t>ii.</w:t>
      </w:r>
      <w:r w:rsidRPr="00367447">
        <w:rPr>
          <w:rFonts w:ascii="Book Antiqua" w:eastAsia="Times New Roman" w:hAnsi="Book Antiqua" w:cs="Times New Roman"/>
          <w:color w:val="000000"/>
          <w:sz w:val="24"/>
          <w:szCs w:val="24"/>
          <w:lang w:eastAsia="en-ZA"/>
        </w:rPr>
        <w:tab/>
        <w:t>Requests the Special Rapporteur to report on the progress;</w:t>
      </w:r>
    </w:p>
    <w:p w:rsidR="00367447" w:rsidRPr="00367447" w:rsidRDefault="00367447" w:rsidP="00367447">
      <w:pPr>
        <w:tabs>
          <w:tab w:val="left" w:pos="720"/>
        </w:tabs>
        <w:spacing w:after="0" w:line="240" w:lineRule="auto"/>
        <w:ind w:left="977" w:hanging="360"/>
        <w:textAlignment w:val="baseline"/>
        <w:rPr>
          <w:rFonts w:ascii="Book Antiqua" w:eastAsia="Times New Roman" w:hAnsi="Book Antiqua" w:cs="Times New Roman"/>
          <w:color w:val="000000"/>
          <w:sz w:val="24"/>
          <w:szCs w:val="24"/>
          <w:lang w:eastAsia="en-ZA"/>
        </w:rPr>
      </w:pPr>
    </w:p>
    <w:p w:rsidR="00367447" w:rsidRPr="00367447" w:rsidRDefault="00367447" w:rsidP="00367447">
      <w:pPr>
        <w:tabs>
          <w:tab w:val="left" w:pos="720"/>
        </w:tabs>
        <w:spacing w:after="0" w:line="240" w:lineRule="auto"/>
        <w:ind w:left="1440" w:right="875" w:hanging="822"/>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ab/>
        <w:t xml:space="preserve">    </w:t>
      </w:r>
      <w:proofErr w:type="gramStart"/>
      <w:r w:rsidRPr="00367447">
        <w:rPr>
          <w:rFonts w:ascii="Book Antiqua" w:eastAsia="Times New Roman" w:hAnsi="Book Antiqua" w:cs="Times New Roman"/>
          <w:color w:val="000000"/>
          <w:sz w:val="24"/>
          <w:szCs w:val="24"/>
          <w:lang w:eastAsia="en-ZA"/>
        </w:rPr>
        <w:t>iii</w:t>
      </w:r>
      <w:proofErr w:type="gramEnd"/>
      <w:r w:rsidRPr="00367447">
        <w:rPr>
          <w:rFonts w:ascii="Book Antiqua" w:eastAsia="Times New Roman" w:hAnsi="Book Antiqua" w:cs="Times New Roman"/>
          <w:color w:val="000000"/>
          <w:sz w:val="24"/>
          <w:szCs w:val="24"/>
          <w:lang w:eastAsia="en-ZA"/>
        </w:rPr>
        <w:t>.</w:t>
      </w:r>
      <w:r w:rsidRPr="00367447">
        <w:rPr>
          <w:rFonts w:ascii="Book Antiqua" w:eastAsia="Times New Roman" w:hAnsi="Book Antiqua" w:cs="Times New Roman"/>
          <w:color w:val="000000"/>
          <w:sz w:val="24"/>
          <w:szCs w:val="24"/>
          <w:lang w:eastAsia="en-ZA"/>
        </w:rPr>
        <w:tab/>
        <w:t>Urges Member States, civil society and other stakeholders, to collaborate with the Special Rapporteur by contributing to the process of drafting the Guidelines.</w:t>
      </w:r>
    </w:p>
    <w:p w:rsidR="00367447" w:rsidRPr="00367447" w:rsidRDefault="00367447" w:rsidP="00367447">
      <w:pPr>
        <w:spacing w:after="0" w:line="240" w:lineRule="auto"/>
        <w:rPr>
          <w:rFonts w:ascii="Times New Roman" w:eastAsia="Times New Roman" w:hAnsi="Times New Roman" w:cs="Times New Roman"/>
          <w:sz w:val="24"/>
          <w:szCs w:val="24"/>
          <w:lang w:eastAsia="en-ZA"/>
        </w:rPr>
      </w:pPr>
    </w:p>
    <w:p w:rsidR="00367447" w:rsidRPr="00367447" w:rsidRDefault="00367447" w:rsidP="00367447">
      <w:pPr>
        <w:spacing w:before="231" w:after="0" w:line="240" w:lineRule="auto"/>
        <w:ind w:left="477"/>
        <w:outlineLvl w:val="3"/>
        <w:rPr>
          <w:rFonts w:ascii="Times New Roman" w:eastAsia="Times New Roman" w:hAnsi="Times New Roman" w:cs="Times New Roman"/>
          <w:b/>
          <w:bCs/>
          <w:sz w:val="24"/>
          <w:szCs w:val="24"/>
          <w:lang w:eastAsia="en-ZA"/>
        </w:rPr>
      </w:pPr>
      <w:r w:rsidRPr="00367447">
        <w:rPr>
          <w:rFonts w:ascii="Book Antiqua" w:eastAsia="Times New Roman" w:hAnsi="Book Antiqua" w:cs="Times New Roman"/>
          <w:b/>
          <w:bCs/>
          <w:color w:val="000000"/>
          <w:sz w:val="24"/>
          <w:szCs w:val="24"/>
          <w:lang w:eastAsia="en-ZA"/>
        </w:rPr>
        <w:t>Adopted, on 07 August 2015, during the 18</w:t>
      </w:r>
      <w:r w:rsidRPr="00367447">
        <w:rPr>
          <w:rFonts w:ascii="Book Antiqua" w:eastAsia="Times New Roman" w:hAnsi="Book Antiqua" w:cs="Times New Roman"/>
          <w:b/>
          <w:bCs/>
          <w:color w:val="000000"/>
          <w:sz w:val="16"/>
          <w:szCs w:val="16"/>
          <w:vertAlign w:val="superscript"/>
          <w:lang w:eastAsia="en-ZA"/>
        </w:rPr>
        <w:t xml:space="preserve">th </w:t>
      </w:r>
      <w:r w:rsidRPr="00367447">
        <w:rPr>
          <w:rFonts w:ascii="Book Antiqua" w:eastAsia="Times New Roman" w:hAnsi="Book Antiqua" w:cs="Times New Roman"/>
          <w:b/>
          <w:bCs/>
          <w:color w:val="000000"/>
          <w:sz w:val="24"/>
          <w:szCs w:val="24"/>
          <w:lang w:eastAsia="en-ZA"/>
        </w:rPr>
        <w:t>Extra-Ordinary Session, in Nairobi, Republic of Kenya</w:t>
      </w:r>
    </w:p>
    <w:p w:rsidR="00667D87" w:rsidRDefault="0036744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14D8"/>
    <w:multiLevelType w:val="hybridMultilevel"/>
    <w:tmpl w:val="CE24C0D8"/>
    <w:lvl w:ilvl="0" w:tplc="A3DA936E">
      <w:start w:val="3"/>
      <w:numFmt w:val="lowerRoman"/>
      <w:lvlText w:val="%1."/>
      <w:lvlJc w:val="right"/>
      <w:pPr>
        <w:tabs>
          <w:tab w:val="num" w:pos="720"/>
        </w:tabs>
        <w:ind w:left="720" w:hanging="360"/>
      </w:pPr>
    </w:lvl>
    <w:lvl w:ilvl="1" w:tplc="57C49346" w:tentative="1">
      <w:start w:val="1"/>
      <w:numFmt w:val="decimal"/>
      <w:lvlText w:val="%2."/>
      <w:lvlJc w:val="left"/>
      <w:pPr>
        <w:tabs>
          <w:tab w:val="num" w:pos="1440"/>
        </w:tabs>
        <w:ind w:left="1440" w:hanging="360"/>
      </w:pPr>
    </w:lvl>
    <w:lvl w:ilvl="2" w:tplc="4E2A142A" w:tentative="1">
      <w:start w:val="1"/>
      <w:numFmt w:val="decimal"/>
      <w:lvlText w:val="%3."/>
      <w:lvlJc w:val="left"/>
      <w:pPr>
        <w:tabs>
          <w:tab w:val="num" w:pos="2160"/>
        </w:tabs>
        <w:ind w:left="2160" w:hanging="360"/>
      </w:pPr>
    </w:lvl>
    <w:lvl w:ilvl="3" w:tplc="1360A172" w:tentative="1">
      <w:start w:val="1"/>
      <w:numFmt w:val="decimal"/>
      <w:lvlText w:val="%4."/>
      <w:lvlJc w:val="left"/>
      <w:pPr>
        <w:tabs>
          <w:tab w:val="num" w:pos="2880"/>
        </w:tabs>
        <w:ind w:left="2880" w:hanging="360"/>
      </w:pPr>
    </w:lvl>
    <w:lvl w:ilvl="4" w:tplc="FDE249CA" w:tentative="1">
      <w:start w:val="1"/>
      <w:numFmt w:val="decimal"/>
      <w:lvlText w:val="%5."/>
      <w:lvlJc w:val="left"/>
      <w:pPr>
        <w:tabs>
          <w:tab w:val="num" w:pos="3600"/>
        </w:tabs>
        <w:ind w:left="3600" w:hanging="360"/>
      </w:pPr>
    </w:lvl>
    <w:lvl w:ilvl="5" w:tplc="4C827172" w:tentative="1">
      <w:start w:val="1"/>
      <w:numFmt w:val="decimal"/>
      <w:lvlText w:val="%6."/>
      <w:lvlJc w:val="left"/>
      <w:pPr>
        <w:tabs>
          <w:tab w:val="num" w:pos="4320"/>
        </w:tabs>
        <w:ind w:left="4320" w:hanging="360"/>
      </w:pPr>
    </w:lvl>
    <w:lvl w:ilvl="6" w:tplc="AFF6F2BE" w:tentative="1">
      <w:start w:val="1"/>
      <w:numFmt w:val="decimal"/>
      <w:lvlText w:val="%7."/>
      <w:lvlJc w:val="left"/>
      <w:pPr>
        <w:tabs>
          <w:tab w:val="num" w:pos="5040"/>
        </w:tabs>
        <w:ind w:left="5040" w:hanging="360"/>
      </w:pPr>
    </w:lvl>
    <w:lvl w:ilvl="7" w:tplc="1272F19E" w:tentative="1">
      <w:start w:val="1"/>
      <w:numFmt w:val="decimal"/>
      <w:lvlText w:val="%8."/>
      <w:lvlJc w:val="left"/>
      <w:pPr>
        <w:tabs>
          <w:tab w:val="num" w:pos="5760"/>
        </w:tabs>
        <w:ind w:left="5760" w:hanging="360"/>
      </w:pPr>
    </w:lvl>
    <w:lvl w:ilvl="8" w:tplc="E38AD77E" w:tentative="1">
      <w:start w:val="1"/>
      <w:numFmt w:val="decimal"/>
      <w:lvlText w:val="%9."/>
      <w:lvlJc w:val="left"/>
      <w:pPr>
        <w:tabs>
          <w:tab w:val="num" w:pos="6480"/>
        </w:tabs>
        <w:ind w:left="6480" w:hanging="360"/>
      </w:pPr>
    </w:lvl>
  </w:abstractNum>
  <w:abstractNum w:abstractNumId="1" w15:restartNumberingAfterBreak="0">
    <w:nsid w:val="309E64DE"/>
    <w:multiLevelType w:val="multilevel"/>
    <w:tmpl w:val="DC20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70B6B"/>
    <w:multiLevelType w:val="hybridMultilevel"/>
    <w:tmpl w:val="862E13C4"/>
    <w:lvl w:ilvl="0" w:tplc="A126A4F4">
      <w:start w:val="2"/>
      <w:numFmt w:val="lowerRoman"/>
      <w:lvlText w:val="%1."/>
      <w:lvlJc w:val="right"/>
      <w:pPr>
        <w:tabs>
          <w:tab w:val="num" w:pos="720"/>
        </w:tabs>
        <w:ind w:left="720" w:hanging="360"/>
      </w:pPr>
    </w:lvl>
    <w:lvl w:ilvl="1" w:tplc="BAE0924C" w:tentative="1">
      <w:start w:val="1"/>
      <w:numFmt w:val="decimal"/>
      <w:lvlText w:val="%2."/>
      <w:lvlJc w:val="left"/>
      <w:pPr>
        <w:tabs>
          <w:tab w:val="num" w:pos="1440"/>
        </w:tabs>
        <w:ind w:left="1440" w:hanging="360"/>
      </w:pPr>
    </w:lvl>
    <w:lvl w:ilvl="2" w:tplc="D0C23386" w:tentative="1">
      <w:start w:val="1"/>
      <w:numFmt w:val="decimal"/>
      <w:lvlText w:val="%3."/>
      <w:lvlJc w:val="left"/>
      <w:pPr>
        <w:tabs>
          <w:tab w:val="num" w:pos="2160"/>
        </w:tabs>
        <w:ind w:left="2160" w:hanging="360"/>
      </w:pPr>
    </w:lvl>
    <w:lvl w:ilvl="3" w:tplc="13389AB4" w:tentative="1">
      <w:start w:val="1"/>
      <w:numFmt w:val="decimal"/>
      <w:lvlText w:val="%4."/>
      <w:lvlJc w:val="left"/>
      <w:pPr>
        <w:tabs>
          <w:tab w:val="num" w:pos="2880"/>
        </w:tabs>
        <w:ind w:left="2880" w:hanging="360"/>
      </w:pPr>
    </w:lvl>
    <w:lvl w:ilvl="4" w:tplc="80129614" w:tentative="1">
      <w:start w:val="1"/>
      <w:numFmt w:val="decimal"/>
      <w:lvlText w:val="%5."/>
      <w:lvlJc w:val="left"/>
      <w:pPr>
        <w:tabs>
          <w:tab w:val="num" w:pos="3600"/>
        </w:tabs>
        <w:ind w:left="3600" w:hanging="360"/>
      </w:pPr>
    </w:lvl>
    <w:lvl w:ilvl="5" w:tplc="2B885E78" w:tentative="1">
      <w:start w:val="1"/>
      <w:numFmt w:val="decimal"/>
      <w:lvlText w:val="%6."/>
      <w:lvlJc w:val="left"/>
      <w:pPr>
        <w:tabs>
          <w:tab w:val="num" w:pos="4320"/>
        </w:tabs>
        <w:ind w:left="4320" w:hanging="360"/>
      </w:pPr>
    </w:lvl>
    <w:lvl w:ilvl="6" w:tplc="95709376" w:tentative="1">
      <w:start w:val="1"/>
      <w:numFmt w:val="decimal"/>
      <w:lvlText w:val="%7."/>
      <w:lvlJc w:val="left"/>
      <w:pPr>
        <w:tabs>
          <w:tab w:val="num" w:pos="5040"/>
        </w:tabs>
        <w:ind w:left="5040" w:hanging="360"/>
      </w:pPr>
    </w:lvl>
    <w:lvl w:ilvl="7" w:tplc="8CC6E9A0" w:tentative="1">
      <w:start w:val="1"/>
      <w:numFmt w:val="decimal"/>
      <w:lvlText w:val="%8."/>
      <w:lvlJc w:val="left"/>
      <w:pPr>
        <w:tabs>
          <w:tab w:val="num" w:pos="5760"/>
        </w:tabs>
        <w:ind w:left="5760" w:hanging="360"/>
      </w:pPr>
    </w:lvl>
    <w:lvl w:ilvl="8" w:tplc="51F6CD6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47"/>
    <w:rsid w:val="00064C86"/>
    <w:rsid w:val="000A4469"/>
    <w:rsid w:val="003674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0D620-610C-45C9-B41B-7CCE6D85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6744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744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36744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2022-02-22T04:17:00Z</dcterms:created>
  <dcterms:modified xsi:type="dcterms:W3CDTF">2022-02-22T04:19:00Z</dcterms:modified>
</cp:coreProperties>
</file>