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ind w:left="477" w:right="877" w:firstLine="0"/>
        <w:jc w:val="both"/>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sz w:val="24"/>
          <w:szCs w:val="24"/>
          <w:rtl w:val="0"/>
        </w:rPr>
        <w:t xml:space="preserve">ACHPR/Res.317 (LVII) 2015: Resolution on the Renewal of the Mandate of the Chairperson and Members of the Working Group on Death Penalty, Extrajudicial, Summary or Arbitrary Killings in Africa</w:t>
      </w:r>
      <w:r w:rsidDel="00000000" w:rsidR="00000000" w:rsidRPr="00000000">
        <w:rPr>
          <w:rtl w:val="0"/>
        </w:rPr>
      </w:r>
    </w:p>
    <w:p w:rsidR="00000000" w:rsidDel="00000000" w:rsidP="00000000" w:rsidRDefault="00000000" w:rsidRPr="00000000" w14:paraId="00000002">
      <w:pPr>
        <w:spacing w:after="0" w:before="239"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(the Commission), meeting at its 57</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Ordinary Session held from 4 to 18 November 2015 in Banjul, The Gambia;</w:t>
      </w:r>
      <w:r w:rsidDel="00000000" w:rsidR="00000000" w:rsidRPr="00000000">
        <w:rPr>
          <w:rtl w:val="0"/>
        </w:rPr>
      </w:r>
    </w:p>
    <w:p w:rsidR="00000000" w:rsidDel="00000000" w:rsidP="00000000" w:rsidRDefault="00000000" w:rsidRPr="00000000" w14:paraId="00000003">
      <w:pPr>
        <w:spacing w:after="0" w:before="232" w:line="240" w:lineRule="auto"/>
        <w:ind w:left="477" w:right="667.7952755905511"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under the African Charter on Human and Peoples’ Rights (the African Charter);</w:t>
      </w:r>
      <w:r w:rsidDel="00000000" w:rsidR="00000000" w:rsidRPr="00000000">
        <w:rPr>
          <w:rtl w:val="0"/>
        </w:rPr>
      </w:r>
    </w:p>
    <w:p w:rsidR="00000000" w:rsidDel="00000000" w:rsidP="00000000" w:rsidRDefault="00000000" w:rsidRPr="00000000" w14:paraId="00000004">
      <w:pPr>
        <w:spacing w:after="0" w:before="24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Resolution ACHPR/Res.42 (XXVI) 99 adopted at its 26</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in Kigali, Rwanda, urging States Parties to envisage a moratorium on the death penalty;</w:t>
      </w:r>
      <w:r w:rsidDel="00000000" w:rsidR="00000000" w:rsidRPr="00000000">
        <w:rPr>
          <w:rtl w:val="0"/>
        </w:rPr>
      </w:r>
    </w:p>
    <w:p w:rsidR="00000000" w:rsidDel="00000000" w:rsidP="00000000" w:rsidRDefault="00000000" w:rsidRPr="00000000" w14:paraId="00000005">
      <w:pPr>
        <w:spacing w:after="0" w:before="240" w:line="240" w:lineRule="auto"/>
        <w:ind w:left="477" w:right="872"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the decision of the African Commission at its 37</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to appoint two Commissioners to work with the Special Rapporteur on Prisons and Conditions of Detention in Africa to prepare a concept paper on the Question of the Death Penalty in Africa;</w:t>
      </w:r>
      <w:r w:rsidDel="00000000" w:rsidR="00000000" w:rsidRPr="00000000">
        <w:rPr>
          <w:rtl w:val="0"/>
        </w:rPr>
      </w:r>
    </w:p>
    <w:p w:rsidR="00000000" w:rsidDel="00000000" w:rsidP="00000000" w:rsidRDefault="00000000" w:rsidRPr="00000000" w14:paraId="00000006">
      <w:pPr>
        <w:spacing w:after="0" w:before="24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Resolution ACHPR/Res.79(XXXVIII) 05 on the composition and work of the Working Group on Death Penalty adopted at its 38</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to expand the composition of the Working Group to include two members of the Commission and five independent experts and to broaden its mandate;</w:t>
      </w:r>
      <w:r w:rsidDel="00000000" w:rsidR="00000000" w:rsidRPr="00000000">
        <w:rPr>
          <w:rtl w:val="0"/>
        </w:rPr>
      </w:r>
    </w:p>
    <w:p w:rsidR="00000000" w:rsidDel="00000000" w:rsidP="00000000" w:rsidRDefault="00000000" w:rsidRPr="00000000" w14:paraId="00000007">
      <w:pPr>
        <w:spacing w:after="0" w:before="24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the trends in international law which encourage the abolition of the death penalty, in particular, the 2</w:t>
      </w:r>
      <w:r w:rsidDel="00000000" w:rsidR="00000000" w:rsidRPr="00000000">
        <w:rPr>
          <w:rFonts w:ascii="Book Antiqua" w:cs="Book Antiqua" w:eastAsia="Book Antiqua" w:hAnsi="Book Antiqua"/>
          <w:color w:val="000000"/>
          <w:sz w:val="16"/>
          <w:szCs w:val="16"/>
          <w:vertAlign w:val="superscript"/>
          <w:rtl w:val="0"/>
        </w:rPr>
        <w:t xml:space="preserve">nd </w:t>
      </w:r>
      <w:r w:rsidDel="00000000" w:rsidR="00000000" w:rsidRPr="00000000">
        <w:rPr>
          <w:rFonts w:ascii="Book Antiqua" w:cs="Book Antiqua" w:eastAsia="Book Antiqua" w:hAnsi="Book Antiqua"/>
          <w:color w:val="000000"/>
          <w:sz w:val="24"/>
          <w:szCs w:val="24"/>
          <w:rtl w:val="0"/>
        </w:rPr>
        <w:t xml:space="preserve">Optional Protocol to the International Covenant on Civil and Political Rights, the Statute of the International Criminal Court, the Resolution of the UN Commission on Human Rights 2005/59 relating to the Death Penalty, the practices adopted by the States Parties to the UN Charter and the debates and initiatives undertaken by civil society and other stakeholders on the question of the death penalty;</w:t>
      </w:r>
      <w:r w:rsidDel="00000000" w:rsidR="00000000" w:rsidRPr="00000000">
        <w:rPr>
          <w:rtl w:val="0"/>
        </w:rPr>
      </w:r>
    </w:p>
    <w:p w:rsidR="00000000" w:rsidDel="00000000" w:rsidP="00000000" w:rsidRDefault="00000000" w:rsidRPr="00000000" w14:paraId="00000008">
      <w:pPr>
        <w:spacing w:after="0" w:before="24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Resolution 62/149 of the General Assembly of the United Nations adopted in 2007 calling on all States that still retain the death penalty to, inter alia, observe a moratorium on executions with a view to abolishing the death penalty;</w:t>
      </w:r>
      <w:r w:rsidDel="00000000" w:rsidR="00000000" w:rsidRPr="00000000">
        <w:rPr>
          <w:rtl w:val="0"/>
        </w:rPr>
      </w:r>
    </w:p>
    <w:p w:rsidR="00000000" w:rsidDel="00000000" w:rsidP="00000000" w:rsidRDefault="00000000" w:rsidRPr="00000000" w14:paraId="00000009">
      <w:pPr>
        <w:spacing w:after="0" w:before="241"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its Resolution ACHPR/Res.113 (XXXXII) 07 on the renewal of the mandate and the appointment of Commissioner Kayitesi Zainabo Sylvie as the Chairperson of the Working Group on Death Penalty adopted at the 42</w:t>
      </w:r>
      <w:r w:rsidDel="00000000" w:rsidR="00000000" w:rsidRPr="00000000">
        <w:rPr>
          <w:rFonts w:ascii="Book Antiqua" w:cs="Book Antiqua" w:eastAsia="Book Antiqua" w:hAnsi="Book Antiqua"/>
          <w:color w:val="000000"/>
          <w:sz w:val="16"/>
          <w:szCs w:val="16"/>
          <w:vertAlign w:val="superscript"/>
          <w:rtl w:val="0"/>
        </w:rPr>
        <w:t xml:space="preserve">nd </w:t>
      </w:r>
      <w:r w:rsidDel="00000000" w:rsidR="00000000" w:rsidRPr="00000000">
        <w:rPr>
          <w:rFonts w:ascii="Book Antiqua" w:cs="Book Antiqua" w:eastAsia="Book Antiqua" w:hAnsi="Book Antiqua"/>
          <w:color w:val="000000"/>
          <w:sz w:val="24"/>
          <w:szCs w:val="24"/>
          <w:rtl w:val="0"/>
        </w:rPr>
        <w:t xml:space="preserve">Ordinary Session held from 15 to 28 November 2007 in Brazzaville, Republic of Congo;</w:t>
      </w:r>
      <w:r w:rsidDel="00000000" w:rsidR="00000000" w:rsidRPr="00000000">
        <w:rPr>
          <w:rtl w:val="0"/>
        </w:rPr>
      </w:r>
    </w:p>
    <w:p w:rsidR="00000000" w:rsidDel="00000000" w:rsidP="00000000" w:rsidRDefault="00000000" w:rsidRPr="00000000" w14:paraId="0000000A">
      <w:pPr>
        <w:spacing w:after="0" w:before="24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Resolution ACHPR/Res.136(XXXXIIII) 08 calling on States Parties to observe the moratorium on the death penalty adopted at its 44</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from 10 to 24 November 2008 in Abuja, Federal Republic of Nigeria;</w:t>
      </w:r>
      <w:r w:rsidDel="00000000" w:rsidR="00000000" w:rsidRPr="00000000">
        <w:rPr>
          <w:rtl w:val="0"/>
        </w:rPr>
      </w:r>
    </w:p>
    <w:p w:rsidR="00000000" w:rsidDel="00000000" w:rsidP="00000000" w:rsidRDefault="00000000" w:rsidRPr="00000000" w14:paraId="0000000B">
      <w:pPr>
        <w:spacing w:after="0" w:before="239"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its Resolution ACHPR/Res.201 (L) 11 on the renewal of the mandate of the Chairperson and the appointment of members of the Working Group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on Death Penalty in Africa adopted at its 50</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from 22 October to 5 November 2011 in Banjul, The Gambia;</w:t>
      </w:r>
      <w:r w:rsidDel="00000000" w:rsidR="00000000" w:rsidRPr="00000000">
        <w:rPr>
          <w:rtl w:val="0"/>
        </w:rPr>
      </w:r>
    </w:p>
    <w:p w:rsidR="00000000" w:rsidDel="00000000" w:rsidP="00000000" w:rsidRDefault="00000000" w:rsidRPr="00000000" w14:paraId="0000000C">
      <w:pPr>
        <w:spacing w:after="0" w:before="24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further </w:t>
      </w:r>
      <w:r w:rsidDel="00000000" w:rsidR="00000000" w:rsidRPr="00000000">
        <w:rPr>
          <w:rFonts w:ascii="Book Antiqua" w:cs="Book Antiqua" w:eastAsia="Book Antiqua" w:hAnsi="Book Antiqua"/>
          <w:color w:val="000000"/>
          <w:sz w:val="24"/>
          <w:szCs w:val="24"/>
          <w:rtl w:val="0"/>
        </w:rPr>
        <w:t xml:space="preserve">its Resolution ACHPR/Res.227 (LII) 2012 on the expansion of the mandate of the Working Group to include questions on extrajudicial, summary or arbitrary killings adopted at its 52</w:t>
      </w:r>
      <w:r w:rsidDel="00000000" w:rsidR="00000000" w:rsidRPr="00000000">
        <w:rPr>
          <w:rFonts w:ascii="Book Antiqua" w:cs="Book Antiqua" w:eastAsia="Book Antiqua" w:hAnsi="Book Antiqua"/>
          <w:color w:val="000000"/>
          <w:sz w:val="16"/>
          <w:szCs w:val="16"/>
          <w:vertAlign w:val="superscript"/>
          <w:rtl w:val="0"/>
        </w:rPr>
        <w:t xml:space="preserve">nd </w:t>
      </w:r>
      <w:r w:rsidDel="00000000" w:rsidR="00000000" w:rsidRPr="00000000">
        <w:rPr>
          <w:rFonts w:ascii="Book Antiqua" w:cs="Book Antiqua" w:eastAsia="Book Antiqua" w:hAnsi="Book Antiqua"/>
          <w:color w:val="000000"/>
          <w:sz w:val="24"/>
          <w:szCs w:val="24"/>
          <w:rtl w:val="0"/>
        </w:rPr>
        <w:t xml:space="preserve">Ordinary Session held from 9 to 23 October 2012 in Yamoussoukro, Côte d’Ivoire;</w:t>
      </w:r>
      <w:r w:rsidDel="00000000" w:rsidR="00000000" w:rsidRPr="00000000">
        <w:rPr>
          <w:rtl w:val="0"/>
        </w:rPr>
      </w:r>
    </w:p>
    <w:p w:rsidR="00000000" w:rsidDel="00000000" w:rsidP="00000000" w:rsidRDefault="00000000" w:rsidRPr="00000000" w14:paraId="0000000D">
      <w:pPr>
        <w:spacing w:after="0" w:before="241"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Recognizing </w:t>
      </w:r>
      <w:r w:rsidDel="00000000" w:rsidR="00000000" w:rsidRPr="00000000">
        <w:rPr>
          <w:rFonts w:ascii="Book Antiqua" w:cs="Book Antiqua" w:eastAsia="Book Antiqua" w:hAnsi="Book Antiqua"/>
          <w:color w:val="000000"/>
          <w:sz w:val="24"/>
          <w:szCs w:val="24"/>
          <w:rtl w:val="0"/>
        </w:rPr>
        <w:t xml:space="preserve">that eighteen (18) States Parties to the African Charter have already abolished the death penalty and twenty-four (24) others have declared a moratorium on its implementation;</w:t>
      </w:r>
      <w:r w:rsidDel="00000000" w:rsidR="00000000" w:rsidRPr="00000000">
        <w:rPr>
          <w:rtl w:val="0"/>
        </w:rPr>
      </w:r>
    </w:p>
    <w:p w:rsidR="00000000" w:rsidDel="00000000" w:rsidP="00000000" w:rsidRDefault="00000000" w:rsidRPr="00000000" w14:paraId="0000000E">
      <w:pPr>
        <w:spacing w:after="0" w:before="239" w:line="240" w:lineRule="auto"/>
        <w:ind w:left="477" w:right="880"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Reaffirming </w:t>
      </w:r>
      <w:r w:rsidDel="00000000" w:rsidR="00000000" w:rsidRPr="00000000">
        <w:rPr>
          <w:rFonts w:ascii="Book Antiqua" w:cs="Book Antiqua" w:eastAsia="Book Antiqua" w:hAnsi="Book Antiqua"/>
          <w:color w:val="000000"/>
          <w:sz w:val="24"/>
          <w:szCs w:val="24"/>
          <w:rtl w:val="0"/>
        </w:rPr>
        <w:t xml:space="preserve">the commitment of the African Commission to promote the right to life and to encourage States Parties to abolish the death penalty;</w:t>
      </w:r>
      <w:r w:rsidDel="00000000" w:rsidR="00000000" w:rsidRPr="00000000">
        <w:rPr>
          <w:rtl w:val="0"/>
        </w:rPr>
      </w:r>
    </w:p>
    <w:p w:rsidR="00000000" w:rsidDel="00000000" w:rsidP="00000000" w:rsidRDefault="00000000" w:rsidRPr="00000000" w14:paraId="0000000F">
      <w:pPr>
        <w:spacing w:after="0" w:before="24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the need to continue to advocate for the abolition of the death penalty in Africa;</w:t>
      </w:r>
      <w:r w:rsidDel="00000000" w:rsidR="00000000" w:rsidRPr="00000000">
        <w:rPr>
          <w:rtl w:val="0"/>
        </w:rPr>
      </w:r>
    </w:p>
    <w:p w:rsidR="00000000" w:rsidDel="00000000" w:rsidP="00000000" w:rsidRDefault="00000000" w:rsidRPr="00000000" w14:paraId="00000010">
      <w:pPr>
        <w:spacing w:after="0" w:before="24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the importance to continue to work with States Parties to the African Charter towards the adoption of the draft Protocol to the African Charter on Human and Peoples’ Rights on the Abolition of the Death Penalty in Africa;</w:t>
      </w:r>
      <w:r w:rsidDel="00000000" w:rsidR="00000000" w:rsidRPr="00000000">
        <w:rPr>
          <w:rtl w:val="0"/>
        </w:rPr>
      </w:r>
    </w:p>
    <w:p w:rsidR="00000000" w:rsidDel="00000000" w:rsidP="00000000" w:rsidRDefault="00000000" w:rsidRPr="00000000" w14:paraId="00000011">
      <w:pPr>
        <w:spacing w:after="0" w:before="241"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with appreciation the work done by the Working Group under the leadership of Commissioner Kayitesi Zainabo Sylvie during the last eight years;</w:t>
      </w:r>
      <w:r w:rsidDel="00000000" w:rsidR="00000000" w:rsidRPr="00000000">
        <w:rPr>
          <w:rtl w:val="0"/>
        </w:rPr>
      </w:r>
    </w:p>
    <w:p w:rsidR="00000000" w:rsidDel="00000000" w:rsidP="00000000" w:rsidRDefault="00000000" w:rsidRPr="00000000" w14:paraId="00000012">
      <w:pPr>
        <w:spacing w:after="0" w:before="24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noting </w:t>
      </w:r>
      <w:r w:rsidDel="00000000" w:rsidR="00000000" w:rsidRPr="00000000">
        <w:rPr>
          <w:rFonts w:ascii="Book Antiqua" w:cs="Book Antiqua" w:eastAsia="Book Antiqua" w:hAnsi="Book Antiqua"/>
          <w:color w:val="000000"/>
          <w:sz w:val="24"/>
          <w:szCs w:val="24"/>
          <w:rtl w:val="0"/>
        </w:rPr>
        <w:t xml:space="preserve">that the mandate of the Chairperson and Members of the Working Group has come to an end;</w:t>
      </w:r>
      <w:r w:rsidDel="00000000" w:rsidR="00000000" w:rsidRPr="00000000">
        <w:rPr>
          <w:rtl w:val="0"/>
        </w:rPr>
      </w:r>
    </w:p>
    <w:p w:rsidR="00000000" w:rsidDel="00000000" w:rsidP="00000000" w:rsidRDefault="00000000" w:rsidRPr="00000000" w14:paraId="00000013">
      <w:pPr>
        <w:spacing w:after="0" w:before="24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recognizing </w:t>
      </w:r>
      <w:r w:rsidDel="00000000" w:rsidR="00000000" w:rsidRPr="00000000">
        <w:rPr>
          <w:rFonts w:ascii="Book Antiqua" w:cs="Book Antiqua" w:eastAsia="Book Antiqua" w:hAnsi="Book Antiqua"/>
          <w:color w:val="000000"/>
          <w:sz w:val="24"/>
          <w:szCs w:val="24"/>
          <w:rtl w:val="0"/>
        </w:rPr>
        <w:t xml:space="preserve">the importance of the work of the Working Group on Death Penalty, Extrajudicial, Summary or Arbitrary Killings and the need to ensure continuity of the Working Group;</w:t>
      </w:r>
      <w:r w:rsidDel="00000000" w:rsidR="00000000" w:rsidRPr="00000000">
        <w:rPr>
          <w:rtl w:val="0"/>
        </w:rPr>
      </w:r>
    </w:p>
    <w:p w:rsidR="00000000" w:rsidDel="00000000" w:rsidP="00000000" w:rsidRDefault="00000000" w:rsidRPr="00000000" w14:paraId="00000014">
      <w:pPr>
        <w:spacing w:after="0" w:before="240" w:line="240" w:lineRule="auto"/>
        <w:ind w:left="4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Decides </w:t>
      </w:r>
      <w:r w:rsidDel="00000000" w:rsidR="00000000" w:rsidRPr="00000000">
        <w:rPr>
          <w:rFonts w:ascii="Book Antiqua" w:cs="Book Antiqua" w:eastAsia="Book Antiqua" w:hAnsi="Book Antiqua"/>
          <w:color w:val="000000"/>
          <w:sz w:val="24"/>
          <w:szCs w:val="24"/>
          <w:rtl w:val="0"/>
        </w:rPr>
        <w:t xml:space="preserve">to:</w:t>
      </w:r>
      <w:r w:rsidDel="00000000" w:rsidR="00000000" w:rsidRPr="00000000">
        <w:rPr>
          <w:rtl w:val="0"/>
        </w:rPr>
      </w:r>
    </w:p>
    <w:p w:rsidR="00000000" w:rsidDel="00000000" w:rsidP="00000000" w:rsidRDefault="00000000" w:rsidRPr="00000000" w14:paraId="00000015">
      <w:pPr>
        <w:spacing w:after="0" w:before="240" w:line="240" w:lineRule="auto"/>
        <w:ind w:left="1437" w:right="876" w:hanging="239.99999999999986"/>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w:t>
        <w:tab/>
        <w:t xml:space="preserve">Re-appoint </w:t>
      </w:r>
      <w:r w:rsidDel="00000000" w:rsidR="00000000" w:rsidRPr="00000000">
        <w:rPr>
          <w:rFonts w:ascii="Book Antiqua" w:cs="Book Antiqua" w:eastAsia="Book Antiqua" w:hAnsi="Book Antiqua"/>
          <w:b w:val="1"/>
          <w:color w:val="000000"/>
          <w:sz w:val="24"/>
          <w:szCs w:val="24"/>
          <w:rtl w:val="0"/>
        </w:rPr>
        <w:t xml:space="preserve">Commissioner Kayitesi Zainabo Sylvie </w:t>
      </w:r>
      <w:r w:rsidDel="00000000" w:rsidR="00000000" w:rsidRPr="00000000">
        <w:rPr>
          <w:rFonts w:ascii="Book Antiqua" w:cs="Book Antiqua" w:eastAsia="Book Antiqua" w:hAnsi="Book Antiqua"/>
          <w:color w:val="000000"/>
          <w:sz w:val="24"/>
          <w:szCs w:val="24"/>
          <w:rtl w:val="0"/>
        </w:rPr>
        <w:t xml:space="preserve">as the Chairperson of the Working Group for a period of two years starting from 18 November 2015;</w:t>
      </w:r>
    </w:p>
    <w:p w:rsidR="00000000" w:rsidDel="00000000" w:rsidP="00000000" w:rsidRDefault="00000000" w:rsidRPr="00000000" w14:paraId="00000016">
      <w:pPr>
        <w:spacing w:after="0" w:before="240" w:line="240" w:lineRule="auto"/>
        <w:ind w:left="1440" w:right="874" w:firstLine="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sz w:val="24"/>
          <w:szCs w:val="24"/>
          <w:rtl w:val="0"/>
        </w:rPr>
        <w:t xml:space="preserve">ii. </w:t>
      </w:r>
      <w:r w:rsidDel="00000000" w:rsidR="00000000" w:rsidRPr="00000000">
        <w:rPr>
          <w:rFonts w:ascii="Book Antiqua" w:cs="Book Antiqua" w:eastAsia="Book Antiqua" w:hAnsi="Book Antiqua"/>
          <w:color w:val="000000"/>
          <w:sz w:val="24"/>
          <w:szCs w:val="24"/>
          <w:rtl w:val="0"/>
        </w:rPr>
        <w:t xml:space="preserve">Re-appoint </w:t>
      </w:r>
      <w:r w:rsidDel="00000000" w:rsidR="00000000" w:rsidRPr="00000000">
        <w:rPr>
          <w:rFonts w:ascii="Book Antiqua" w:cs="Book Antiqua" w:eastAsia="Book Antiqua" w:hAnsi="Book Antiqua"/>
          <w:b w:val="1"/>
          <w:color w:val="000000"/>
          <w:sz w:val="24"/>
          <w:szCs w:val="24"/>
          <w:rtl w:val="0"/>
        </w:rPr>
        <w:t xml:space="preserve">Commissioner</w:t>
      </w:r>
      <w:r w:rsidDel="00000000" w:rsidR="00000000" w:rsidRPr="00000000">
        <w:rPr>
          <w:rFonts w:ascii="Book Antiqua" w:cs="Book Antiqua" w:eastAsia="Book Antiqua" w:hAnsi="Book Antiqua"/>
          <w:b w:val="1"/>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Maya</w:t>
      </w:r>
      <w:r w:rsidDel="00000000" w:rsidR="00000000" w:rsidRPr="00000000">
        <w:rPr>
          <w:rFonts w:ascii="Book Antiqua" w:cs="Book Antiqua" w:eastAsia="Book Antiqua" w:hAnsi="Book Antiqua"/>
          <w:b w:val="1"/>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Sahli</w:t>
      </w:r>
      <w:r w:rsidDel="00000000" w:rsidR="00000000" w:rsidRPr="00000000">
        <w:rPr>
          <w:rFonts w:ascii="Book Antiqua" w:cs="Book Antiqua" w:eastAsia="Book Antiqua" w:hAnsi="Book Antiqua"/>
          <w:b w:val="1"/>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Fadel </w:t>
      </w:r>
      <w:r w:rsidDel="00000000" w:rsidR="00000000" w:rsidRPr="00000000">
        <w:rPr>
          <w:rFonts w:ascii="Book Antiqua" w:cs="Book Antiqua" w:eastAsia="Book Antiqua" w:hAnsi="Book Antiqua"/>
          <w:color w:val="000000"/>
          <w:sz w:val="24"/>
          <w:szCs w:val="24"/>
          <w:rtl w:val="0"/>
        </w:rPr>
        <w:t xml:space="preserve">and   </w:t>
      </w:r>
      <w:r w:rsidDel="00000000" w:rsidR="00000000" w:rsidRPr="00000000">
        <w:rPr>
          <w:rFonts w:ascii="Book Antiqua" w:cs="Book Antiqua" w:eastAsia="Book Antiqua" w:hAnsi="Book Antiqua"/>
          <w:b w:val="1"/>
          <w:color w:val="000000"/>
          <w:sz w:val="24"/>
          <w:szCs w:val="24"/>
          <w:rtl w:val="0"/>
        </w:rPr>
        <w:t xml:space="preserve">Commissioner</w:t>
      </w:r>
      <w:r w:rsidDel="00000000" w:rsidR="00000000" w:rsidRPr="00000000">
        <w:rPr>
          <w:rFonts w:ascii="Book Antiqua" w:cs="Book Antiqua" w:eastAsia="Book Antiqua" w:hAnsi="Book Antiqua"/>
          <w:b w:val="1"/>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Med Kaggwa </w:t>
      </w:r>
      <w:r w:rsidDel="00000000" w:rsidR="00000000" w:rsidRPr="00000000">
        <w:rPr>
          <w:rFonts w:ascii="Book Antiqua" w:cs="Book Antiqua" w:eastAsia="Book Antiqua" w:hAnsi="Book Antiqua"/>
          <w:color w:val="000000"/>
          <w:sz w:val="24"/>
          <w:szCs w:val="24"/>
          <w:rtl w:val="0"/>
        </w:rPr>
        <w:t xml:space="preserve">as Members of the Working Group for the same period; and</w:t>
      </w:r>
    </w:p>
    <w:p w:rsidR="00000000" w:rsidDel="00000000" w:rsidP="00000000" w:rsidRDefault="00000000" w:rsidRPr="00000000" w14:paraId="00000017">
      <w:pPr>
        <w:tabs>
          <w:tab w:val="left" w:pos="1440"/>
        </w:tabs>
        <w:spacing w:after="0" w:before="1" w:line="240" w:lineRule="auto"/>
        <w:ind w:left="930"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iv.</w:t>
        <w:tab/>
        <w:t xml:space="preserve">Renew for the same period the mandate of the following Experts:</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ind w:left="720" w:right="7044" w:hanging="150"/>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w:t>
        <w:tab/>
        <w:t xml:space="preserve">Ms Alice Mogwe;</w:t>
      </w:r>
      <w:r w:rsidDel="00000000" w:rsidR="00000000" w:rsidRPr="00000000">
        <w:rPr>
          <w:rtl w:val="0"/>
        </w:rPr>
      </w:r>
    </w:p>
    <w:p w:rsidR="00000000" w:rsidDel="00000000" w:rsidP="00000000" w:rsidRDefault="00000000" w:rsidRPr="00000000" w14:paraId="0000001A">
      <w:pPr>
        <w:tabs>
          <w:tab w:val="left" w:pos="720"/>
        </w:tabs>
        <w:spacing w:after="0" w:before="239" w:line="240" w:lineRule="auto"/>
        <w:ind w:left="570" w:right="7138" w:hanging="571"/>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ab/>
        <w:t xml:space="preserve">−</w:t>
        <w:tab/>
      </w:r>
      <w:r w:rsidDel="00000000" w:rsidR="00000000" w:rsidRPr="00000000">
        <w:rPr>
          <w:rFonts w:ascii="Book Antiqua" w:cs="Book Antiqua" w:eastAsia="Book Antiqua" w:hAnsi="Book Antiqua"/>
          <w:color w:val="000000"/>
          <w:sz w:val="24"/>
          <w:szCs w:val="24"/>
          <w:rtl w:val="0"/>
        </w:rPr>
        <w:t xml:space="preserve">Prof. Philip Francis Iya;</w:t>
      </w:r>
    </w:p>
    <w:p w:rsidR="00000000" w:rsidDel="00000000" w:rsidP="00000000" w:rsidRDefault="00000000" w:rsidRPr="00000000" w14:paraId="0000001B">
      <w:pPr>
        <w:tabs>
          <w:tab w:val="left" w:pos="720"/>
        </w:tabs>
        <w:spacing w:after="0" w:before="241" w:line="240" w:lineRule="auto"/>
        <w:ind w:left="836" w:hanging="360"/>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color w:val="000000"/>
          <w:sz w:val="24"/>
          <w:szCs w:val="24"/>
          <w:rtl w:val="0"/>
        </w:rPr>
        <w:t xml:space="preserve">Prof. Carlson E. Anyangwe;</w:t>
      </w:r>
    </w:p>
    <w:p w:rsidR="00000000" w:rsidDel="00000000" w:rsidP="00000000" w:rsidRDefault="00000000" w:rsidRPr="00000000" w14:paraId="0000001C">
      <w:pPr>
        <w:tabs>
          <w:tab w:val="left" w:pos="720"/>
        </w:tabs>
        <w:spacing w:after="0" w:before="239" w:line="240" w:lineRule="auto"/>
        <w:ind w:left="359" w:right="7107" w:hanging="360"/>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ab/>
        <w:t xml:space="preserve">−</w:t>
        <w:tab/>
      </w:r>
      <w:r w:rsidDel="00000000" w:rsidR="00000000" w:rsidRPr="00000000">
        <w:rPr>
          <w:rFonts w:ascii="Book Antiqua" w:cs="Book Antiqua" w:eastAsia="Book Antiqua" w:hAnsi="Book Antiqua"/>
          <w:color w:val="000000"/>
          <w:sz w:val="24"/>
          <w:szCs w:val="24"/>
          <w:rtl w:val="0"/>
        </w:rPr>
        <w:t xml:space="preserve">Mr Fares Bouzenia; and</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720"/>
        </w:tabs>
        <w:spacing w:after="0" w:before="239" w:line="240" w:lineRule="auto"/>
        <w:ind w:left="836" w:hanging="360"/>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color w:val="000000"/>
          <w:sz w:val="24"/>
          <w:szCs w:val="24"/>
          <w:rtl w:val="0"/>
        </w:rPr>
        <w:t xml:space="preserve">Mr Clement Capo-Chichi.</w:t>
      </w:r>
    </w:p>
    <w:p w:rsidR="00000000" w:rsidDel="00000000" w:rsidP="00000000" w:rsidRDefault="00000000" w:rsidRPr="00000000" w14:paraId="0000001F">
      <w:pPr>
        <w:tabs>
          <w:tab w:val="left" w:pos="720"/>
        </w:tabs>
        <w:spacing w:after="0" w:before="239" w:line="240" w:lineRule="auto"/>
        <w:ind w:left="836" w:hanging="360"/>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20">
      <w:pPr>
        <w:spacing w:after="0" w:line="240" w:lineRule="auto"/>
        <w:ind w:left="498" w:right="895"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Adopted at the 57</w:t>
      </w:r>
      <w:r w:rsidDel="00000000" w:rsidR="00000000" w:rsidRPr="00000000">
        <w:rPr>
          <w:rFonts w:ascii="Book Antiqua" w:cs="Book Antiqua" w:eastAsia="Book Antiqua" w:hAnsi="Book Antiqua"/>
          <w:b w:val="1"/>
          <w:color w:val="000000"/>
          <w:sz w:val="16"/>
          <w:szCs w:val="16"/>
          <w:vertAlign w:val="superscript"/>
          <w:rtl w:val="0"/>
        </w:rPr>
        <w:t xml:space="preserve">th </w:t>
      </w:r>
      <w:r w:rsidDel="00000000" w:rsidR="00000000" w:rsidRPr="00000000">
        <w:rPr>
          <w:rFonts w:ascii="Book Antiqua" w:cs="Book Antiqua" w:eastAsia="Book Antiqua" w:hAnsi="Book Antiqua"/>
          <w:b w:val="1"/>
          <w:color w:val="000000"/>
          <w:sz w:val="24"/>
          <w:szCs w:val="24"/>
          <w:rtl w:val="0"/>
        </w:rPr>
        <w:t xml:space="preserve">Ordinary Session of the African Commission on Human and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Peoples’ Rights held from 4 to 18 November 2015 in Banjul, The Gambia</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5A00D5"/>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5A00D5"/>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5A00D5"/>
    <w:pPr>
      <w:spacing w:after="100" w:afterAutospacing="1" w:before="100" w:beforeAutospacing="1" w:line="240" w:lineRule="auto"/>
    </w:pPr>
    <w:rPr>
      <w:rFonts w:ascii="Times New Roman" w:cs="Times New Roman" w:eastAsia="Times New Roman" w:hAnsi="Times New Roman"/>
      <w:sz w:val="24"/>
      <w:szCs w:val="24"/>
      <w:lang w:eastAsia="en-ZA"/>
    </w:rPr>
  </w:style>
  <w:style w:type="character" w:styleId="apple-tab-span" w:customStyle="1">
    <w:name w:val="apple-tab-span"/>
    <w:basedOn w:val="DefaultParagraphFont"/>
    <w:rsid w:val="005A00D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L3dvzt8VdstChdMDcbZ5UUFzcw==">AMUW2mXfFIr9vX42rfRlyg6SQxmfcUMbQgfKTXkE9NBWYT1tSBWoXM1zPbl+GF0A5WAfmObbsLxmw0CwOOFtyOVzv8UT1V+NV8Ep2wrk+5Wb/5FA+144RTjagno88UCKYZ4RamyB3aPp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2022-02-24T15:41:00Z</dcterms:created>
  <dc:creator>HOME</dc:creator>
</cp:coreProperties>
</file>