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877"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ACHPR/Res.322 (LVII) 2015: </w:t>
      </w:r>
      <w:r w:rsidDel="00000000" w:rsidR="00000000" w:rsidRPr="00000000">
        <w:rPr>
          <w:rFonts w:ascii="Book Antiqua" w:cs="Book Antiqua" w:eastAsia="Book Antiqua" w:hAnsi="Book Antiqua"/>
          <w:b w:val="1"/>
          <w:color w:val="000000"/>
          <w:rtl w:val="0"/>
        </w:rPr>
        <w:t xml:space="preserve">Resolution on the Renewal of the Mandate and Reconstitution of the Committee for the Prevention of Torture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57</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in Banjul, The Gambia, from 4 to 18 November 2015;</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Article 45 of the African Charter on Human and Peoples’ Rights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91"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Article 5 of the African Charter which enshrines the right to the respect of the dignity inherent in a human being and prohibits all forms of exploitation and degradation of man, particularly slavery, slave trade, torture, cruel, inhuman or degrading punishment and treatment;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Guidelines and Measures for the Prevention of Torture, Cruel, Inhuman or Degrading Treatment or Punishment in Africa (the Robben Island Guidelines) adopted at the Commission’s 32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Ordinary Session, held in Banjul, The Gambia, from 17 to 23 October 2002;</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the establishment of the Robben Island Guidelines Follow-Up Committee in 2004 with the mandate to give effect to the implementation of Article 5 of the Charter and the Robben Island Guidelines;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9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Resolution ACHPR/Res158 (XLVI) 09, that changed the name of the Robben Island Follow-up Committee to the Committee for the Prevention of Torture in Africa;</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Taking account of </w:t>
      </w:r>
      <w:r w:rsidDel="00000000" w:rsidR="00000000" w:rsidRPr="00000000">
        <w:rPr>
          <w:rFonts w:ascii="Book Antiqua" w:cs="Book Antiqua" w:eastAsia="Book Antiqua" w:hAnsi="Book Antiqua"/>
          <w:color w:val="000000"/>
          <w:sz w:val="24"/>
          <w:szCs w:val="24"/>
          <w:rtl w:val="0"/>
        </w:rPr>
        <w:t xml:space="preserve">Resolution ACHPR/Res.254 (LIV) 13 on the Appointment of the Chairperson and Renewal of the Mandate of the Members of the Committee for the Prevention of Torture in Africa, adopted at its 54</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22 October to 5 November 2013, in Banjul, The Gambia;</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with appreciation </w:t>
      </w:r>
      <w:r w:rsidDel="00000000" w:rsidR="00000000" w:rsidRPr="00000000">
        <w:rPr>
          <w:rFonts w:ascii="Book Antiqua" w:cs="Book Antiqua" w:eastAsia="Book Antiqua" w:hAnsi="Book Antiqua"/>
          <w:color w:val="000000"/>
          <w:sz w:val="24"/>
          <w:szCs w:val="24"/>
          <w:rtl w:val="0"/>
        </w:rPr>
        <w:t xml:space="preserve">the work undertaken by the Committee for the Prevention of Torture in Africa under the leadership of the Chairperson of the Committee, Commissioner Lawrence Murugu Mute, since his appointment on 5 November 2013;</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the mandate of the Chairperson and members of the Committee has come to an end;</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before="24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need to allow the Committee for the Prevention of Torture in Africa to continue carrying out its mandate and address urgent issues falling within its mandate;</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The Commission decides to:</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1" w:line="240" w:lineRule="auto"/>
        <w:ind w:left="1440" w:right="873" w:hanging="242.9999999999999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Renew the appointment of </w:t>
      </w:r>
      <w:r w:rsidDel="00000000" w:rsidR="00000000" w:rsidRPr="00000000">
        <w:rPr>
          <w:rFonts w:ascii="Book Antiqua" w:cs="Book Antiqua" w:eastAsia="Book Antiqua" w:hAnsi="Book Antiqua"/>
          <w:b w:val="1"/>
          <w:color w:val="000000"/>
          <w:sz w:val="24"/>
          <w:szCs w:val="24"/>
          <w:rtl w:val="0"/>
        </w:rPr>
        <w:t xml:space="preserve">Commissioner Lawrence Murugu Mute </w:t>
      </w:r>
      <w:r w:rsidDel="00000000" w:rsidR="00000000" w:rsidRPr="00000000">
        <w:rPr>
          <w:rFonts w:ascii="Book Antiqua" w:cs="Book Antiqua" w:eastAsia="Book Antiqua" w:hAnsi="Book Antiqua"/>
          <w:color w:val="000000"/>
          <w:sz w:val="24"/>
          <w:szCs w:val="24"/>
          <w:rtl w:val="0"/>
        </w:rPr>
        <w:t xml:space="preserve">as Chairperson of the Committee for a period of two years;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1275"/>
        </w:tabs>
        <w:spacing w:after="0" w:line="240" w:lineRule="auto"/>
        <w:ind w:left="1455"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ii.</w:t>
        <w:tab/>
        <w:t xml:space="preserve">Renew for the same period the mandate of </w:t>
      </w:r>
      <w:r w:rsidDel="00000000" w:rsidR="00000000" w:rsidRPr="00000000">
        <w:rPr>
          <w:rFonts w:ascii="Book Antiqua" w:cs="Book Antiqua" w:eastAsia="Book Antiqua" w:hAnsi="Book Antiqua"/>
          <w:b w:val="1"/>
          <w:color w:val="000000"/>
          <w:sz w:val="24"/>
          <w:szCs w:val="24"/>
          <w:rtl w:val="0"/>
        </w:rPr>
        <w:t xml:space="preserve">Commissioner Med. S. K. Kaggwa </w:t>
      </w:r>
      <w:r w:rsidDel="00000000" w:rsidR="00000000" w:rsidRPr="00000000">
        <w:rPr>
          <w:rFonts w:ascii="Book Antiqua" w:cs="Book Antiqua" w:eastAsia="Book Antiqua" w:hAnsi="Book Antiqua"/>
          <w:color w:val="000000"/>
          <w:sz w:val="24"/>
          <w:szCs w:val="24"/>
          <w:rtl w:val="0"/>
        </w:rPr>
        <w:t xml:space="preserve">and </w:t>
      </w:r>
      <w:r w:rsidDel="00000000" w:rsidR="00000000" w:rsidRPr="00000000">
        <w:rPr>
          <w:rFonts w:ascii="Book Antiqua" w:cs="Book Antiqua" w:eastAsia="Book Antiqua" w:hAnsi="Book Antiqua"/>
          <w:b w:val="1"/>
          <w:color w:val="000000"/>
          <w:sz w:val="24"/>
          <w:szCs w:val="24"/>
          <w:rtl w:val="0"/>
        </w:rPr>
        <w:t xml:space="preserve">Commissioner Lucy Asuagbor </w:t>
      </w:r>
      <w:r w:rsidDel="00000000" w:rsidR="00000000" w:rsidRPr="00000000">
        <w:rPr>
          <w:rFonts w:ascii="Book Antiqua" w:cs="Book Antiqua" w:eastAsia="Book Antiqua" w:hAnsi="Book Antiqua"/>
          <w:color w:val="000000"/>
          <w:sz w:val="24"/>
          <w:szCs w:val="24"/>
          <w:rtl w:val="0"/>
        </w:rPr>
        <w:t xml:space="preserve">as members of the Committee;</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720"/>
        </w:tabs>
        <w:spacing w:after="0" w:line="240" w:lineRule="auto"/>
        <w:ind w:left="1479"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iii.</w:t>
        <w:tab/>
        <w:t xml:space="preserve">Appoint </w:t>
      </w:r>
      <w:r w:rsidDel="00000000" w:rsidR="00000000" w:rsidRPr="00000000">
        <w:rPr>
          <w:rFonts w:ascii="Book Antiqua" w:cs="Book Antiqua" w:eastAsia="Book Antiqua" w:hAnsi="Book Antiqua"/>
          <w:b w:val="1"/>
          <w:color w:val="000000"/>
          <w:sz w:val="24"/>
          <w:szCs w:val="24"/>
          <w:rtl w:val="0"/>
        </w:rPr>
        <w:t xml:space="preserve">Commissioner Solomon Ayele Dersso </w:t>
      </w:r>
      <w:r w:rsidDel="00000000" w:rsidR="00000000" w:rsidRPr="00000000">
        <w:rPr>
          <w:rFonts w:ascii="Book Antiqua" w:cs="Book Antiqua" w:eastAsia="Book Antiqua" w:hAnsi="Book Antiqua"/>
          <w:color w:val="000000"/>
          <w:sz w:val="24"/>
          <w:szCs w:val="24"/>
          <w:rtl w:val="0"/>
        </w:rPr>
        <w:t xml:space="preserve">as a member of the Committee for the same period; and</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pos="720"/>
        </w:tabs>
        <w:spacing w:after="0" w:before="1" w:line="240" w:lineRule="auto"/>
        <w:ind w:left="143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iv.</w:t>
        <w:tab/>
        <w:t xml:space="preserve">Maintain for the same period, the membership of the following experts: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720"/>
        </w:tabs>
        <w:spacing w:after="0" w:line="240" w:lineRule="auto"/>
        <w:ind w:left="239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Mr Jean-Baptiste Niyizurugero – Vice Chairperson;</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tabs>
          <w:tab w:val="left" w:pos="720"/>
        </w:tabs>
        <w:spacing w:after="0" w:line="240" w:lineRule="auto"/>
        <w:ind w:left="239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Ms Hannah Forster – Member; and</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tabs>
          <w:tab w:val="left" w:pos="720"/>
        </w:tabs>
        <w:spacing w:after="0" w:before="1" w:line="240" w:lineRule="auto"/>
        <w:ind w:left="239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Mr Malick Sow – Member.</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left="498" w:right="897" w:firstLine="0"/>
        <w:jc w:val="center"/>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on 17 November 2015 at the 57</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 Peoples’ Rights, held from 4 to 18 November 2015 in Banjul, The Gambia</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FD0F82"/>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FD0F82"/>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FD0F82"/>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apple-tab-span" w:customStyle="1">
    <w:name w:val="apple-tab-span"/>
    <w:basedOn w:val="DefaultParagraphFont"/>
    <w:rsid w:val="00FD0F8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QEOFOzhTwn0YUCxRWXVDMPjNA==">AMUW2mVgjzi64lG/zkkIq/PMi679BHezJB/GOjkFwu39HXZsMEvsB1gQ15stDr1Hwi7ksWhLL0hYg7R+zd3yPY+DabjtAbfcSFYTZ+zYbIXNa2h6VU9+v5v514oh1+2qoH47LIbof4lB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2022-02-24T17:09:00Z</dcterms:created>
  <dc:creator>HOME</dc:creator>
</cp:coreProperties>
</file>