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DAE" w:rsidRPr="00450DAE" w:rsidRDefault="00450DAE" w:rsidP="00450DAE">
      <w:pPr>
        <w:spacing w:before="240" w:after="0" w:line="240" w:lineRule="auto"/>
        <w:ind w:left="477" w:right="875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n-ZA"/>
        </w:rPr>
      </w:pPr>
      <w:r w:rsidRPr="00450DAE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en-ZA"/>
        </w:rPr>
        <w:t>ACHPR/</w:t>
      </w:r>
      <w:bookmarkStart w:id="0" w:name="_GoBack"/>
      <w:r w:rsidRPr="00450DAE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en-ZA"/>
        </w:rPr>
        <w:t>Res.323 (LVII) 2015</w:t>
      </w:r>
      <w:bookmarkEnd w:id="0"/>
      <w:r w:rsidRPr="00450DAE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en-ZA"/>
        </w:rPr>
        <w:t>: RESOLUTION ON THE RENEWAL OF THE MANDATE OF THE WORKING GROUP ON INDIGENOUS POPULATIONS/COMMUNITIES IN AFRICA</w:t>
      </w:r>
    </w:p>
    <w:p w:rsidR="00450DAE" w:rsidRPr="00450DAE" w:rsidRDefault="00450DAE" w:rsidP="00450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450DAE" w:rsidRPr="00450DAE" w:rsidRDefault="00450DAE" w:rsidP="00450DAE">
      <w:pPr>
        <w:spacing w:after="0" w:line="240" w:lineRule="auto"/>
        <w:ind w:left="477" w:right="880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450DAE">
        <w:rPr>
          <w:rFonts w:ascii="Book Antiqua" w:eastAsia="Times New Roman" w:hAnsi="Book Antiqua" w:cs="Times New Roman"/>
          <w:i/>
          <w:iCs/>
          <w:color w:val="000000"/>
          <w:sz w:val="24"/>
          <w:szCs w:val="24"/>
          <w:lang w:eastAsia="en-ZA"/>
        </w:rPr>
        <w:t>The African Commission on Human and Peoples’ Rights (the African Commission) meeting at its 57</w:t>
      </w:r>
      <w:r w:rsidRPr="00450DAE">
        <w:rPr>
          <w:rFonts w:ascii="Book Antiqua" w:eastAsia="Times New Roman" w:hAnsi="Book Antiqua" w:cs="Times New Roman"/>
          <w:i/>
          <w:iCs/>
          <w:color w:val="000000"/>
          <w:sz w:val="16"/>
          <w:szCs w:val="16"/>
          <w:vertAlign w:val="superscript"/>
          <w:lang w:eastAsia="en-ZA"/>
        </w:rPr>
        <w:t xml:space="preserve">th </w:t>
      </w:r>
      <w:r w:rsidRPr="00450DAE">
        <w:rPr>
          <w:rFonts w:ascii="Book Antiqua" w:eastAsia="Times New Roman" w:hAnsi="Book Antiqua" w:cs="Times New Roman"/>
          <w:i/>
          <w:iCs/>
          <w:color w:val="000000"/>
          <w:sz w:val="24"/>
          <w:szCs w:val="24"/>
          <w:lang w:eastAsia="en-ZA"/>
        </w:rPr>
        <w:t>Ordinary Session held from 4</w:t>
      </w:r>
      <w:r w:rsidRPr="00450DAE">
        <w:rPr>
          <w:rFonts w:ascii="Book Antiqua" w:eastAsia="Times New Roman" w:hAnsi="Book Antiqua" w:cs="Times New Roman"/>
          <w:i/>
          <w:iCs/>
          <w:color w:val="000000"/>
          <w:sz w:val="16"/>
          <w:szCs w:val="16"/>
          <w:vertAlign w:val="superscript"/>
          <w:lang w:eastAsia="en-ZA"/>
        </w:rPr>
        <w:t xml:space="preserve">th </w:t>
      </w:r>
      <w:r w:rsidRPr="00450DAE">
        <w:rPr>
          <w:rFonts w:ascii="Book Antiqua" w:eastAsia="Times New Roman" w:hAnsi="Book Antiqua" w:cs="Times New Roman"/>
          <w:i/>
          <w:iCs/>
          <w:color w:val="000000"/>
          <w:sz w:val="24"/>
          <w:szCs w:val="24"/>
          <w:lang w:eastAsia="en-ZA"/>
        </w:rPr>
        <w:t>to 18</w:t>
      </w:r>
      <w:r w:rsidRPr="00450DAE">
        <w:rPr>
          <w:rFonts w:ascii="Book Antiqua" w:eastAsia="Times New Roman" w:hAnsi="Book Antiqua" w:cs="Times New Roman"/>
          <w:i/>
          <w:iCs/>
          <w:color w:val="000000"/>
          <w:sz w:val="16"/>
          <w:szCs w:val="16"/>
          <w:vertAlign w:val="superscript"/>
          <w:lang w:eastAsia="en-ZA"/>
        </w:rPr>
        <w:t xml:space="preserve">th </w:t>
      </w:r>
      <w:r w:rsidRPr="00450DAE">
        <w:rPr>
          <w:rFonts w:ascii="Book Antiqua" w:eastAsia="Times New Roman" w:hAnsi="Book Antiqua" w:cs="Times New Roman"/>
          <w:i/>
          <w:iCs/>
          <w:color w:val="000000"/>
          <w:sz w:val="24"/>
          <w:szCs w:val="24"/>
          <w:lang w:eastAsia="en-ZA"/>
        </w:rPr>
        <w:t>November 2015, in Banjul, The Gambia;</w:t>
      </w:r>
    </w:p>
    <w:p w:rsidR="00450DAE" w:rsidRPr="00450DAE" w:rsidRDefault="00450DAE" w:rsidP="00450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450DAE" w:rsidRPr="00450DAE" w:rsidRDefault="00450DAE" w:rsidP="00450DAE">
      <w:pPr>
        <w:spacing w:after="0" w:line="240" w:lineRule="auto"/>
        <w:ind w:left="477" w:right="878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450DAE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en-ZA"/>
        </w:rPr>
        <w:t xml:space="preserve">Considering </w:t>
      </w:r>
      <w:r w:rsidRPr="00450DAE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>its mandate to promote human and peoples’ rights and ensure their protection in Africa under the African Charter on Human and Peoples’ Rights (the African Charter);</w:t>
      </w:r>
    </w:p>
    <w:p w:rsidR="00450DAE" w:rsidRPr="00450DAE" w:rsidRDefault="00450DAE" w:rsidP="00450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450DAE" w:rsidRPr="00450DAE" w:rsidRDefault="00450DAE" w:rsidP="00450DAE">
      <w:pPr>
        <w:spacing w:after="0" w:line="240" w:lineRule="auto"/>
        <w:ind w:left="477" w:right="877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450DAE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en-ZA"/>
        </w:rPr>
        <w:t xml:space="preserve">Recalling </w:t>
      </w:r>
      <w:r w:rsidRPr="00450DAE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>that the African Commission established a Working Group on Indigenous Populations/Communities (the Working Group) composed of ten members, amongst them, three Members of the African Commission;</w:t>
      </w:r>
    </w:p>
    <w:p w:rsidR="00450DAE" w:rsidRPr="00450DAE" w:rsidRDefault="00450DAE" w:rsidP="00450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450DAE" w:rsidRPr="00450DAE" w:rsidRDefault="00450DAE" w:rsidP="00450DAE">
      <w:pPr>
        <w:spacing w:after="0" w:line="240" w:lineRule="auto"/>
        <w:ind w:left="477" w:right="874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450DAE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en-ZA"/>
        </w:rPr>
        <w:t xml:space="preserve">Further recalling </w:t>
      </w:r>
      <w:r w:rsidRPr="00450DAE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>its Resolution ACHPR/Res.65 (XXXIV) 03 on the Report of the African Commission’s Working Group adopted at its 34</w:t>
      </w:r>
      <w:r w:rsidRPr="00450DAE">
        <w:rPr>
          <w:rFonts w:ascii="Book Antiqua" w:eastAsia="Times New Roman" w:hAnsi="Book Antiqua" w:cs="Times New Roman"/>
          <w:color w:val="000000"/>
          <w:sz w:val="16"/>
          <w:szCs w:val="16"/>
          <w:vertAlign w:val="superscript"/>
          <w:lang w:eastAsia="en-ZA"/>
        </w:rPr>
        <w:t xml:space="preserve">th </w:t>
      </w:r>
      <w:r w:rsidRPr="00450DAE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>Ordinary Session held in Banjul, The Gambia, from 6 to 20 November 2003;</w:t>
      </w:r>
    </w:p>
    <w:p w:rsidR="00450DAE" w:rsidRPr="00450DAE" w:rsidRDefault="00450DAE" w:rsidP="00450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450DAE" w:rsidRPr="00450DAE" w:rsidRDefault="00450DAE" w:rsidP="00450DAE">
      <w:pPr>
        <w:spacing w:after="0" w:line="240" w:lineRule="auto"/>
        <w:ind w:left="477" w:right="875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450DAE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en-ZA"/>
        </w:rPr>
        <w:t xml:space="preserve">Recalling </w:t>
      </w:r>
      <w:r w:rsidRPr="00450DAE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>Resolutions ACHPR/Res.123 (XXXXII) of 2007; ACHPR/Res.155 (XLV1) of 2009; ACHPR/Res.204 (L) of 2011; and ACHPR/Res.249 of 2013 all renewing the mandate of the Working Group for consecutive two years;</w:t>
      </w:r>
    </w:p>
    <w:p w:rsidR="00450DAE" w:rsidRPr="00450DAE" w:rsidRDefault="00450DAE" w:rsidP="00450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450DAE" w:rsidRPr="00450DAE" w:rsidRDefault="00450DAE" w:rsidP="00450DAE">
      <w:pPr>
        <w:spacing w:after="0" w:line="240" w:lineRule="auto"/>
        <w:ind w:left="477" w:right="878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450DAE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en-ZA"/>
        </w:rPr>
        <w:t xml:space="preserve">Bearing in mind </w:t>
      </w:r>
      <w:r w:rsidRPr="00450DAE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>ACHPR/Res.237 of 2013 appointing two new expert members for the Working Group;</w:t>
      </w:r>
    </w:p>
    <w:p w:rsidR="00450DAE" w:rsidRPr="00450DAE" w:rsidRDefault="00450DAE" w:rsidP="00450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450DAE" w:rsidRPr="00450DAE" w:rsidRDefault="00450DAE" w:rsidP="00450DAE">
      <w:pPr>
        <w:spacing w:before="1" w:after="0" w:line="240" w:lineRule="auto"/>
        <w:ind w:left="477" w:right="876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450DAE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en-ZA"/>
        </w:rPr>
        <w:t xml:space="preserve">Noting </w:t>
      </w:r>
      <w:r w:rsidRPr="00450DAE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 xml:space="preserve">with appreciation the work undertaken by the Working Group under the leadership of Commissioner </w:t>
      </w:r>
      <w:proofErr w:type="spellStart"/>
      <w:r w:rsidRPr="00450DAE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>Soyata</w:t>
      </w:r>
      <w:proofErr w:type="spellEnd"/>
      <w:r w:rsidRPr="00450DAE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 w:rsidRPr="00450DAE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>Maiga</w:t>
      </w:r>
      <w:proofErr w:type="spellEnd"/>
      <w:r w:rsidRPr="00450DAE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 xml:space="preserve"> during the past two years in the discharge of its mandate;</w:t>
      </w:r>
    </w:p>
    <w:p w:rsidR="00450DAE" w:rsidRPr="00450DAE" w:rsidRDefault="00450DAE" w:rsidP="00450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450DAE" w:rsidRPr="00450DAE" w:rsidRDefault="00450DAE" w:rsidP="00450DAE">
      <w:pPr>
        <w:spacing w:after="0" w:line="240" w:lineRule="auto"/>
        <w:ind w:left="477" w:right="879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450DAE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en-ZA"/>
        </w:rPr>
        <w:t xml:space="preserve">Noting </w:t>
      </w:r>
      <w:r w:rsidRPr="00450DAE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>further that the term of the Chairperson and members of the Working Group has come to an end;</w:t>
      </w:r>
    </w:p>
    <w:p w:rsidR="00450DAE" w:rsidRPr="00450DAE" w:rsidRDefault="00450DAE" w:rsidP="00450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450DAE" w:rsidRPr="00450DAE" w:rsidRDefault="00450DAE" w:rsidP="00450DAE">
      <w:pPr>
        <w:spacing w:after="0" w:line="240" w:lineRule="auto"/>
        <w:ind w:left="477" w:right="877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450DAE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en-ZA"/>
        </w:rPr>
        <w:t xml:space="preserve">Recognizing further </w:t>
      </w:r>
      <w:r w:rsidRPr="00450DAE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>the importance of the work of the Working Group in the promotion and protection of the rights of indigenous populations/communities in Africa and the necessity to allow the Working Group to continue to carry out its mandate;</w:t>
      </w:r>
    </w:p>
    <w:p w:rsidR="00450DAE" w:rsidRPr="00450DAE" w:rsidRDefault="00450DAE" w:rsidP="00450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450DAE" w:rsidRPr="00450DAE" w:rsidRDefault="00450DAE" w:rsidP="00450DAE">
      <w:pPr>
        <w:spacing w:after="0" w:line="240" w:lineRule="auto"/>
        <w:ind w:left="477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n-ZA"/>
        </w:rPr>
      </w:pPr>
      <w:r w:rsidRPr="00450DAE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en-ZA"/>
        </w:rPr>
        <w:t>Decides to</w:t>
      </w:r>
      <w:r w:rsidRPr="00450DAE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>:</w:t>
      </w:r>
    </w:p>
    <w:p w:rsidR="00450DAE" w:rsidRPr="00450DAE" w:rsidRDefault="00450DAE" w:rsidP="00450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450DAE" w:rsidRPr="00450DAE" w:rsidRDefault="00450DAE" w:rsidP="00450DAE">
      <w:pPr>
        <w:tabs>
          <w:tab w:val="left" w:pos="720"/>
        </w:tabs>
        <w:spacing w:after="0" w:line="240" w:lineRule="auto"/>
        <w:ind w:left="1663" w:right="878" w:hanging="360"/>
        <w:textAlignment w:val="baseline"/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</w:pPr>
      <w:r w:rsidRPr="00450DAE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>ix.</w:t>
      </w:r>
      <w:r w:rsidRPr="00450DAE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ab/>
        <w:t xml:space="preserve">Renew the mandate of Commissioner </w:t>
      </w:r>
      <w:proofErr w:type="spellStart"/>
      <w:r w:rsidRPr="00450DAE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>Soyata</w:t>
      </w:r>
      <w:proofErr w:type="spellEnd"/>
      <w:r w:rsidRPr="00450DAE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 w:rsidRPr="00450DAE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>Maiga</w:t>
      </w:r>
      <w:proofErr w:type="spellEnd"/>
      <w:r w:rsidRPr="00450DAE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 xml:space="preserve"> as Chairperson of the Working Group;</w:t>
      </w:r>
    </w:p>
    <w:p w:rsidR="00450DAE" w:rsidRPr="00450DAE" w:rsidRDefault="00450DAE" w:rsidP="00450DAE">
      <w:pPr>
        <w:tabs>
          <w:tab w:val="left" w:pos="720"/>
        </w:tabs>
        <w:spacing w:before="1" w:after="0" w:line="240" w:lineRule="auto"/>
        <w:ind w:left="1733" w:right="878" w:hanging="360"/>
        <w:textAlignment w:val="baseline"/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</w:pPr>
      <w:r w:rsidRPr="00450DAE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lastRenderedPageBreak/>
        <w:t>x.</w:t>
      </w:r>
      <w:r w:rsidRPr="00450DAE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ab/>
        <w:t xml:space="preserve">Renew the mandate of Commissioner Lucy </w:t>
      </w:r>
      <w:proofErr w:type="spellStart"/>
      <w:r w:rsidRPr="00450DAE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>Asuagbor</w:t>
      </w:r>
      <w:proofErr w:type="spellEnd"/>
      <w:r w:rsidRPr="00450DAE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 xml:space="preserve"> as a member of the Working Group;</w:t>
      </w:r>
    </w:p>
    <w:p w:rsidR="00450DAE" w:rsidRPr="00450DAE" w:rsidRDefault="00450DAE" w:rsidP="00450DAE">
      <w:pPr>
        <w:tabs>
          <w:tab w:val="left" w:pos="720"/>
        </w:tabs>
        <w:spacing w:before="92" w:after="0" w:line="240" w:lineRule="auto"/>
        <w:ind w:left="1663" w:right="876" w:hanging="360"/>
        <w:textAlignment w:val="baseline"/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</w:pPr>
      <w:r w:rsidRPr="00450DAE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>xi.</w:t>
      </w:r>
      <w:r w:rsidRPr="00450DAE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ab/>
        <w:t xml:space="preserve">Appoint Commissioner </w:t>
      </w:r>
      <w:proofErr w:type="spellStart"/>
      <w:r w:rsidRPr="00450DAE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>Reine</w:t>
      </w:r>
      <w:proofErr w:type="spellEnd"/>
      <w:r w:rsidRPr="00450DAE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 w:rsidRPr="00450DAE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>Alapini-Gansou</w:t>
      </w:r>
      <w:proofErr w:type="spellEnd"/>
      <w:r w:rsidRPr="00450DAE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 xml:space="preserve"> as a member of the Working Group;</w:t>
      </w:r>
    </w:p>
    <w:p w:rsidR="00450DAE" w:rsidRPr="00450DAE" w:rsidRDefault="00450DAE" w:rsidP="00450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450DAE" w:rsidRPr="00450DAE" w:rsidRDefault="00450DAE" w:rsidP="00450DAE">
      <w:pPr>
        <w:tabs>
          <w:tab w:val="left" w:pos="720"/>
        </w:tabs>
        <w:spacing w:after="0" w:line="240" w:lineRule="auto"/>
        <w:ind w:left="1592" w:hanging="360"/>
        <w:textAlignment w:val="baseline"/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</w:pPr>
      <w:r w:rsidRPr="00450DAE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>xii.</w:t>
      </w:r>
      <w:r w:rsidRPr="00450DAE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ab/>
        <w:t>Maintain the membership of the following experts:</w:t>
      </w:r>
    </w:p>
    <w:p w:rsidR="00450DAE" w:rsidRPr="00450DAE" w:rsidRDefault="00450DAE" w:rsidP="00450DAE">
      <w:pPr>
        <w:tabs>
          <w:tab w:val="left" w:pos="1440"/>
        </w:tabs>
        <w:spacing w:before="245" w:after="0" w:line="240" w:lineRule="auto"/>
        <w:ind w:left="1916" w:hanging="360"/>
        <w:textAlignment w:val="baseline"/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</w:pPr>
      <w:r w:rsidRPr="00450DAE">
        <w:rPr>
          <w:rFonts w:ascii="Symbol" w:eastAsia="Times New Roman" w:hAnsi="Symbol" w:cs="Times New Roman"/>
          <w:color w:val="000000"/>
          <w:sz w:val="20"/>
          <w:szCs w:val="24"/>
          <w:lang w:eastAsia="en-ZA"/>
        </w:rPr>
        <w:t></w:t>
      </w:r>
      <w:r w:rsidRPr="00450DAE">
        <w:rPr>
          <w:rFonts w:ascii="Symbol" w:eastAsia="Times New Roman" w:hAnsi="Symbol" w:cs="Times New Roman"/>
          <w:color w:val="000000"/>
          <w:sz w:val="20"/>
          <w:szCs w:val="24"/>
          <w:lang w:eastAsia="en-ZA"/>
        </w:rPr>
        <w:tab/>
      </w:r>
      <w:r w:rsidRPr="00450DAE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 xml:space="preserve">Mr. Mohammed </w:t>
      </w:r>
      <w:proofErr w:type="spellStart"/>
      <w:r w:rsidRPr="00450DAE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>Khattali</w:t>
      </w:r>
      <w:proofErr w:type="spellEnd"/>
    </w:p>
    <w:p w:rsidR="00450DAE" w:rsidRPr="00450DAE" w:rsidRDefault="00450DAE" w:rsidP="00450DAE">
      <w:pPr>
        <w:tabs>
          <w:tab w:val="left" w:pos="1440"/>
        </w:tabs>
        <w:spacing w:before="240" w:after="0" w:line="240" w:lineRule="auto"/>
        <w:ind w:left="1916" w:hanging="360"/>
        <w:textAlignment w:val="baseline"/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</w:pPr>
      <w:r w:rsidRPr="00450DAE">
        <w:rPr>
          <w:rFonts w:ascii="Symbol" w:eastAsia="Times New Roman" w:hAnsi="Symbol" w:cs="Times New Roman"/>
          <w:color w:val="000000"/>
          <w:sz w:val="20"/>
          <w:szCs w:val="24"/>
          <w:lang w:eastAsia="en-ZA"/>
        </w:rPr>
        <w:t></w:t>
      </w:r>
      <w:r w:rsidRPr="00450DAE">
        <w:rPr>
          <w:rFonts w:ascii="Symbol" w:eastAsia="Times New Roman" w:hAnsi="Symbol" w:cs="Times New Roman"/>
          <w:color w:val="000000"/>
          <w:sz w:val="20"/>
          <w:szCs w:val="24"/>
          <w:lang w:eastAsia="en-ZA"/>
        </w:rPr>
        <w:tab/>
      </w:r>
      <w:r w:rsidRPr="00450DAE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>Ms. Marianne Jensen</w:t>
      </w:r>
    </w:p>
    <w:p w:rsidR="00450DAE" w:rsidRPr="00450DAE" w:rsidRDefault="00450DAE" w:rsidP="00450DAE">
      <w:pPr>
        <w:tabs>
          <w:tab w:val="left" w:pos="1440"/>
        </w:tabs>
        <w:spacing w:before="241" w:after="0" w:line="240" w:lineRule="auto"/>
        <w:ind w:left="1916" w:hanging="360"/>
        <w:textAlignment w:val="baseline"/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</w:pPr>
      <w:r w:rsidRPr="00450DAE">
        <w:rPr>
          <w:rFonts w:ascii="Symbol" w:eastAsia="Times New Roman" w:hAnsi="Symbol" w:cs="Times New Roman"/>
          <w:color w:val="000000"/>
          <w:sz w:val="20"/>
          <w:szCs w:val="24"/>
          <w:lang w:eastAsia="en-ZA"/>
        </w:rPr>
        <w:t></w:t>
      </w:r>
      <w:r w:rsidRPr="00450DAE">
        <w:rPr>
          <w:rFonts w:ascii="Symbol" w:eastAsia="Times New Roman" w:hAnsi="Symbol" w:cs="Times New Roman"/>
          <w:color w:val="000000"/>
          <w:sz w:val="20"/>
          <w:szCs w:val="24"/>
          <w:lang w:eastAsia="en-ZA"/>
        </w:rPr>
        <w:tab/>
      </w:r>
      <w:proofErr w:type="spellStart"/>
      <w:r w:rsidRPr="00450DAE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>Dr.</w:t>
      </w:r>
      <w:proofErr w:type="spellEnd"/>
      <w:r w:rsidRPr="00450DAE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 w:rsidRPr="00450DAE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>Melakou</w:t>
      </w:r>
      <w:proofErr w:type="spellEnd"/>
      <w:r w:rsidRPr="00450DAE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 w:rsidRPr="00450DAE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>Tegegn</w:t>
      </w:r>
      <w:proofErr w:type="spellEnd"/>
    </w:p>
    <w:p w:rsidR="00450DAE" w:rsidRPr="00450DAE" w:rsidRDefault="00450DAE" w:rsidP="00450DAE">
      <w:pPr>
        <w:tabs>
          <w:tab w:val="left" w:pos="1440"/>
        </w:tabs>
        <w:spacing w:before="240" w:after="0" w:line="240" w:lineRule="auto"/>
        <w:ind w:left="1916" w:hanging="360"/>
        <w:textAlignment w:val="baseline"/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</w:pPr>
      <w:r w:rsidRPr="00450DAE">
        <w:rPr>
          <w:rFonts w:ascii="Symbol" w:eastAsia="Times New Roman" w:hAnsi="Symbol" w:cs="Times New Roman"/>
          <w:color w:val="000000"/>
          <w:sz w:val="20"/>
          <w:szCs w:val="24"/>
          <w:lang w:eastAsia="en-ZA"/>
        </w:rPr>
        <w:t></w:t>
      </w:r>
      <w:r w:rsidRPr="00450DAE">
        <w:rPr>
          <w:rFonts w:ascii="Symbol" w:eastAsia="Times New Roman" w:hAnsi="Symbol" w:cs="Times New Roman"/>
          <w:color w:val="000000"/>
          <w:sz w:val="20"/>
          <w:szCs w:val="24"/>
          <w:lang w:eastAsia="en-ZA"/>
        </w:rPr>
        <w:tab/>
      </w:r>
      <w:proofErr w:type="spellStart"/>
      <w:r w:rsidRPr="00450DAE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>Dr.</w:t>
      </w:r>
      <w:proofErr w:type="spellEnd"/>
      <w:r w:rsidRPr="00450DAE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 xml:space="preserve"> Naomi </w:t>
      </w:r>
      <w:proofErr w:type="spellStart"/>
      <w:r w:rsidRPr="00450DAE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>Kipuri</w:t>
      </w:r>
      <w:proofErr w:type="spellEnd"/>
    </w:p>
    <w:p w:rsidR="00450DAE" w:rsidRPr="00450DAE" w:rsidRDefault="00450DAE" w:rsidP="00450DAE">
      <w:pPr>
        <w:tabs>
          <w:tab w:val="left" w:pos="1440"/>
        </w:tabs>
        <w:spacing w:before="241" w:after="0" w:line="240" w:lineRule="auto"/>
        <w:ind w:left="1916" w:hanging="360"/>
        <w:textAlignment w:val="baseline"/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</w:pPr>
      <w:r w:rsidRPr="00450DAE">
        <w:rPr>
          <w:rFonts w:ascii="Symbol" w:eastAsia="Times New Roman" w:hAnsi="Symbol" w:cs="Times New Roman"/>
          <w:color w:val="000000"/>
          <w:sz w:val="20"/>
          <w:szCs w:val="24"/>
          <w:lang w:eastAsia="en-ZA"/>
        </w:rPr>
        <w:t></w:t>
      </w:r>
      <w:r w:rsidRPr="00450DAE">
        <w:rPr>
          <w:rFonts w:ascii="Symbol" w:eastAsia="Times New Roman" w:hAnsi="Symbol" w:cs="Times New Roman"/>
          <w:color w:val="000000"/>
          <w:sz w:val="20"/>
          <w:szCs w:val="24"/>
          <w:lang w:eastAsia="en-ZA"/>
        </w:rPr>
        <w:tab/>
      </w:r>
      <w:proofErr w:type="spellStart"/>
      <w:r w:rsidRPr="00450DAE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>Dr.</w:t>
      </w:r>
      <w:proofErr w:type="spellEnd"/>
      <w:r w:rsidRPr="00450DAE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 xml:space="preserve"> Albert </w:t>
      </w:r>
      <w:proofErr w:type="spellStart"/>
      <w:r w:rsidRPr="00450DAE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>Barume</w:t>
      </w:r>
      <w:proofErr w:type="spellEnd"/>
    </w:p>
    <w:p w:rsidR="00450DAE" w:rsidRPr="00450DAE" w:rsidRDefault="00450DAE" w:rsidP="00450DAE">
      <w:pPr>
        <w:tabs>
          <w:tab w:val="left" w:pos="1440"/>
        </w:tabs>
        <w:spacing w:before="240" w:after="0" w:line="240" w:lineRule="auto"/>
        <w:ind w:left="1916" w:hanging="360"/>
        <w:textAlignment w:val="baseline"/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</w:pPr>
      <w:r w:rsidRPr="00450DAE">
        <w:rPr>
          <w:rFonts w:ascii="Symbol" w:eastAsia="Times New Roman" w:hAnsi="Symbol" w:cs="Times New Roman"/>
          <w:color w:val="000000"/>
          <w:sz w:val="20"/>
          <w:szCs w:val="24"/>
          <w:lang w:eastAsia="en-ZA"/>
        </w:rPr>
        <w:t></w:t>
      </w:r>
      <w:r w:rsidRPr="00450DAE">
        <w:rPr>
          <w:rFonts w:ascii="Symbol" w:eastAsia="Times New Roman" w:hAnsi="Symbol" w:cs="Times New Roman"/>
          <w:color w:val="000000"/>
          <w:sz w:val="20"/>
          <w:szCs w:val="24"/>
          <w:lang w:eastAsia="en-ZA"/>
        </w:rPr>
        <w:tab/>
      </w:r>
      <w:r w:rsidRPr="00450DAE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 xml:space="preserve">Ms </w:t>
      </w:r>
      <w:proofErr w:type="spellStart"/>
      <w:r w:rsidRPr="00450DAE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>Lesle</w:t>
      </w:r>
      <w:proofErr w:type="spellEnd"/>
      <w:r w:rsidRPr="00450DAE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 xml:space="preserve"> Jansen</w:t>
      </w:r>
    </w:p>
    <w:p w:rsidR="00450DAE" w:rsidRPr="00450DAE" w:rsidRDefault="00450DAE" w:rsidP="00450DAE">
      <w:pPr>
        <w:tabs>
          <w:tab w:val="left" w:pos="1440"/>
        </w:tabs>
        <w:spacing w:before="241" w:after="0" w:line="240" w:lineRule="auto"/>
        <w:ind w:left="1916" w:hanging="360"/>
        <w:textAlignment w:val="baseline"/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</w:pPr>
      <w:r w:rsidRPr="00450DAE">
        <w:rPr>
          <w:rFonts w:ascii="Symbol" w:eastAsia="Times New Roman" w:hAnsi="Symbol" w:cs="Times New Roman"/>
          <w:color w:val="000000"/>
          <w:sz w:val="20"/>
          <w:szCs w:val="24"/>
          <w:lang w:eastAsia="en-ZA"/>
        </w:rPr>
        <w:t></w:t>
      </w:r>
      <w:r w:rsidRPr="00450DAE">
        <w:rPr>
          <w:rFonts w:ascii="Symbol" w:eastAsia="Times New Roman" w:hAnsi="Symbol" w:cs="Times New Roman"/>
          <w:color w:val="000000"/>
          <w:sz w:val="20"/>
          <w:szCs w:val="24"/>
          <w:lang w:eastAsia="en-ZA"/>
        </w:rPr>
        <w:tab/>
      </w:r>
      <w:r w:rsidRPr="00450DAE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 xml:space="preserve">Ms </w:t>
      </w:r>
      <w:proofErr w:type="spellStart"/>
      <w:r w:rsidRPr="00450DAE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>Hawe</w:t>
      </w:r>
      <w:proofErr w:type="spellEnd"/>
      <w:r w:rsidRPr="00450DAE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 w:rsidRPr="00450DAE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>Bouba</w:t>
      </w:r>
      <w:proofErr w:type="spellEnd"/>
    </w:p>
    <w:p w:rsidR="00450DAE" w:rsidRPr="00450DAE" w:rsidRDefault="00450DAE" w:rsidP="00450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450DAE" w:rsidRPr="00450DAE" w:rsidRDefault="00450DAE" w:rsidP="00450DAE">
      <w:pPr>
        <w:spacing w:before="191" w:after="0" w:line="240" w:lineRule="auto"/>
        <w:ind w:left="477" w:right="876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450DAE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>The mandate of the Working Group is 2 years and shall take effect on 18 November 2015.</w:t>
      </w:r>
    </w:p>
    <w:p w:rsidR="00450DAE" w:rsidRPr="00450DAE" w:rsidRDefault="00450DAE" w:rsidP="00450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450DAE" w:rsidRPr="00450DAE" w:rsidRDefault="00450DAE" w:rsidP="00450DAE">
      <w:pPr>
        <w:spacing w:before="250" w:after="0" w:line="240" w:lineRule="auto"/>
        <w:ind w:left="498" w:right="897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n-ZA"/>
        </w:rPr>
      </w:pPr>
      <w:r w:rsidRPr="00450DAE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en-ZA"/>
        </w:rPr>
        <w:t>Adopted on 17 November 2015 at the 57</w:t>
      </w:r>
      <w:r w:rsidRPr="00450DAE">
        <w:rPr>
          <w:rFonts w:ascii="Book Antiqua" w:eastAsia="Times New Roman" w:hAnsi="Book Antiqua" w:cs="Times New Roman"/>
          <w:b/>
          <w:bCs/>
          <w:color w:val="000000"/>
          <w:sz w:val="16"/>
          <w:szCs w:val="16"/>
          <w:vertAlign w:val="superscript"/>
          <w:lang w:eastAsia="en-ZA"/>
        </w:rPr>
        <w:t xml:space="preserve">th </w:t>
      </w:r>
      <w:r w:rsidRPr="00450DAE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en-ZA"/>
        </w:rPr>
        <w:t>Ordinary Session of the African Commission on Human and Peoples’ Rights, held from 4 to 18 November 2015 in Banjul, The Gambia</w:t>
      </w:r>
    </w:p>
    <w:p w:rsidR="00667D87" w:rsidRDefault="00450DAE"/>
    <w:sectPr w:rsidR="00667D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BC0D39"/>
    <w:multiLevelType w:val="hybridMultilevel"/>
    <w:tmpl w:val="D1DA2778"/>
    <w:lvl w:ilvl="0" w:tplc="80721BEA">
      <w:start w:val="9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64B626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86228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3F0FE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8249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FB25E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EE29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3EB4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BEF3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204F64"/>
    <w:multiLevelType w:val="hybridMultilevel"/>
    <w:tmpl w:val="D6285684"/>
    <w:lvl w:ilvl="0" w:tplc="96E42950">
      <w:start w:val="1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41BE8D6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66C33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AA57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5A26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5834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A059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D8F5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30CA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890D73"/>
    <w:multiLevelType w:val="hybridMultilevel"/>
    <w:tmpl w:val="49AC9ECC"/>
    <w:lvl w:ilvl="0" w:tplc="62364382">
      <w:start w:val="1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643E140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B6C3A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7EAB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F230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ACB4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0AE0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4060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294EB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C175C1B"/>
    <w:multiLevelType w:val="hybridMultilevel"/>
    <w:tmpl w:val="7ECAAE1A"/>
    <w:lvl w:ilvl="0" w:tplc="AF46A5C4">
      <w:start w:val="10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FF7CBB2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DC40F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D58BB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689F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2832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085A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F2E5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983B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1"/>
    <w:lvlOverride w:ilvl="1">
      <w:lvl w:ilvl="1" w:tplc="41BE8D6A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DAE"/>
    <w:rsid w:val="00064C86"/>
    <w:rsid w:val="000A4469"/>
    <w:rsid w:val="00450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FE4F58-AD4C-467D-8364-505AC7C72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450DA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50DAE"/>
    <w:rPr>
      <w:rFonts w:ascii="Times New Roman" w:eastAsia="Times New Roman" w:hAnsi="Times New Roman" w:cs="Times New Roman"/>
      <w:b/>
      <w:bCs/>
      <w:sz w:val="24"/>
      <w:szCs w:val="24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450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3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Altech Autopage Cellular</Company>
  <LinksUpToDate>false</LinksUpToDate>
  <CharactersWithSpaces>2449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2022-02-24T17:11:00Z</dcterms:created>
  <dcterms:modified xsi:type="dcterms:W3CDTF">2022-02-24T17:12:00Z</dcterms:modified>
</cp:coreProperties>
</file>