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rtl w:val="0"/>
        </w:rPr>
        <w:t xml:space="preserve">ACHPR/Res. 328 (EXT.OS/XIX) 2016: 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Resolution on the Modification of the Mandate of the Working Group on Specific Issues relevant to the Work of the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The African Commission on Human and Peoples’ Rights (the Commission) meeting at its 19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16"/>
          <w:szCs w:val="16"/>
          <w:vertAlign w:val="superscript"/>
          <w:rtl w:val="0"/>
        </w:rPr>
        <w:t xml:space="preserve">th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Extra-Ordinary Session held in Banjul, The Islamic Republic of The Gambia, from 16 to 25 February 2016;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477" w:right="667.795275590551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mandate to promote human and peoples’ rights and ensure their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protection in Africa under the African Charter on Human and Peoples’ Rights;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91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also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Resolution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ACHPR/Res.77 (XXXVII) 05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on the creation of a Working Group on Specific Issues Relevant to the Work of the Commission (the Working Group);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91" w:line="240" w:lineRule="auto"/>
        <w:ind w:left="477" w:right="87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Recalling further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its previous: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Resolution ACHPR/Res.124 (XXXXII) 07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Book Antiqua" w:cs="Book Antiqua" w:eastAsia="Book Antiqua" w:hAnsi="Book Antiqua"/>
          <w:i w:val="1"/>
          <w:color w:val="252525"/>
          <w:sz w:val="24"/>
          <w:szCs w:val="24"/>
          <w:rtl w:val="0"/>
        </w:rPr>
        <w:t xml:space="preserve">Resolution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ACHPR/Res.150 (XLV1) 09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renewing the mandate of the Working Group; </w:t>
      </w:r>
      <w:r w:rsidDel="00000000" w:rsidR="00000000" w:rsidRPr="00000000">
        <w:rPr>
          <w:rFonts w:ascii="Book Antiqua" w:cs="Book Antiqua" w:eastAsia="Book Antiqua" w:hAnsi="Book Antiqua"/>
          <w:i w:val="1"/>
          <w:color w:val="252525"/>
          <w:sz w:val="24"/>
          <w:szCs w:val="24"/>
          <w:rtl w:val="0"/>
        </w:rPr>
        <w:t xml:space="preserve">Resolution ACHPR/Res.233 (EXT.OS/XIII) 13 </w:t>
      </w:r>
      <w:r w:rsidDel="00000000" w:rsidR="00000000" w:rsidRPr="00000000">
        <w:rPr>
          <w:rFonts w:ascii="Book Antiqua" w:cs="Book Antiqua" w:eastAsia="Book Antiqua" w:hAnsi="Book Antiqua"/>
          <w:color w:val="252525"/>
          <w:sz w:val="24"/>
          <w:szCs w:val="24"/>
          <w:rtl w:val="0"/>
        </w:rPr>
        <w:t xml:space="preserve">reconstituting the Working Group and modifying its mandate and composition; </w:t>
      </w:r>
      <w:r w:rsidDel="00000000" w:rsidR="00000000" w:rsidRPr="00000000">
        <w:rPr>
          <w:rFonts w:ascii="Book Antiqua" w:cs="Book Antiqua" w:eastAsia="Book Antiqua" w:hAnsi="Book Antiqua"/>
          <w:i w:val="1"/>
          <w:color w:val="252525"/>
          <w:sz w:val="24"/>
          <w:szCs w:val="24"/>
          <w:rtl w:val="0"/>
        </w:rPr>
        <w:t xml:space="preserve">Resolution ACHPR/Res.280 </w:t>
      </w:r>
      <w:r w:rsidDel="00000000" w:rsidR="00000000" w:rsidRPr="00000000">
        <w:rPr>
          <w:rFonts w:ascii="Book Antiqua" w:cs="Book Antiqua" w:eastAsia="Book Antiqua" w:hAnsi="Book Antiqua"/>
          <w:color w:val="252525"/>
          <w:sz w:val="24"/>
          <w:szCs w:val="24"/>
          <w:rtl w:val="0"/>
        </w:rPr>
        <w:t xml:space="preserve">renewing the mandate of the Working Group;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Book Antiqua" w:cs="Book Antiqua" w:eastAsia="Book Antiqua" w:hAnsi="Book Antiqua"/>
          <w:i w:val="1"/>
          <w:color w:val="252525"/>
          <w:sz w:val="24"/>
          <w:szCs w:val="24"/>
          <w:rtl w:val="0"/>
        </w:rPr>
        <w:t xml:space="preserve">Resolution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4"/>
          <w:szCs w:val="24"/>
          <w:rtl w:val="0"/>
        </w:rPr>
        <w:t xml:space="preserve">ACHPR/Res.311 (LVI1) 15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reconstituting the membership of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91" w:line="240" w:lineRule="auto"/>
        <w:ind w:left="477" w:right="66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Noting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with appreciation the accomplishments of the Working Group sinc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  its establishment;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91" w:line="240" w:lineRule="auto"/>
        <w:ind w:left="477" w:right="87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Bearing in mind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that the Working Group has in recent years been tasked with additional responsibilities pertaining to current matters relevant to the work of the Commission;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91" w:line="240" w:lineRule="auto"/>
        <w:ind w:left="477" w:right="87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Also bearing in mind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establishment of a Legal Aid Fund for all African Union Human Rights Organs, as a result of which the mandate of the Working Group to establish a Voluntary Fund for Human Rights in Africa has become redundant;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92" w:line="240" w:lineRule="auto"/>
        <w:ind w:left="477" w:right="667.795275590551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Recognizing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need therefore, to modify the mandate of the Working Group;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91" w:line="240" w:lineRule="auto"/>
        <w:ind w:left="4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The Commission: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91" w:line="240" w:lineRule="auto"/>
        <w:ind w:left="47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Decides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that the mandate of the Working Group be modified as follows,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ind w:left="1440" w:right="873" w:hanging="373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i.</w:t>
        <w:tab/>
        <w:t xml:space="preserve">Deal as a matter of priority with the monitoring and evaluation of the implementation of the Strategic Plan of the Commission for the years 2015 – 2019, and the associated resource mobilization strategy;</w:t>
      </w:r>
    </w:p>
    <w:p w:rsidR="00000000" w:rsidDel="00000000" w:rsidP="00000000" w:rsidRDefault="00000000" w:rsidRPr="00000000" w14:paraId="00000018">
      <w:pPr>
        <w:spacing w:after="0" w:before="1" w:line="240" w:lineRule="auto"/>
        <w:ind w:left="1440" w:right="876" w:hanging="443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ii.</w:t>
        <w:tab/>
        <w:t xml:space="preserve">Deal with the mechanism and procedure for the follow-up on the recommendations and decisions of the Commission other than those relating to Communications or those provided for under the Commission’s Rules of Procedures;</w:t>
      </w:r>
    </w:p>
    <w:p w:rsidR="00000000" w:rsidDel="00000000" w:rsidP="00000000" w:rsidRDefault="00000000" w:rsidRPr="00000000" w14:paraId="00000019">
      <w:pPr>
        <w:spacing w:after="0" w:before="1" w:line="240" w:lineRule="auto"/>
        <w:ind w:left="1440" w:right="876" w:hanging="443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iii.</w:t>
        <w:tab/>
        <w:t xml:space="preserve">Review the Rules of Procedure of the Commission (2010) in consultation with the Working Group on Communications, and propose amendments thereof to the Commission;</w:t>
      </w:r>
    </w:p>
    <w:p w:rsidR="00000000" w:rsidDel="00000000" w:rsidP="00000000" w:rsidRDefault="00000000" w:rsidRPr="00000000" w14:paraId="0000001A">
      <w:pPr>
        <w:spacing w:after="0" w:line="240" w:lineRule="auto"/>
        <w:ind w:left="1440" w:right="877" w:hanging="443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iv.</w:t>
        <w:tab/>
        <w:t xml:space="preserve">Advise the Commission on the governance and functioning of the Commission and its Secretariat in close collaboration with the Advisory Committee on Budgetary and Staff Matters; and</w:t>
      </w:r>
    </w:p>
    <w:p w:rsidR="00000000" w:rsidDel="00000000" w:rsidP="00000000" w:rsidRDefault="00000000" w:rsidRPr="00000000" w14:paraId="0000001B">
      <w:pPr>
        <w:spacing w:after="0" w:line="240" w:lineRule="auto"/>
        <w:ind w:left="1440" w:hanging="443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v.</w:t>
        <w:tab/>
        <w:t xml:space="preserve">Perform any other tasks which may be entrusted to it</w:t>
      </w:r>
    </w:p>
    <w:p w:rsidR="00000000" w:rsidDel="00000000" w:rsidP="00000000" w:rsidRDefault="00000000" w:rsidRPr="00000000" w14:paraId="0000001C">
      <w:pPr>
        <w:spacing w:after="0" w:line="240" w:lineRule="auto"/>
        <w:ind w:left="1440" w:firstLine="0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 by the Commission.</w:t>
      </w:r>
    </w:p>
    <w:p w:rsidR="00000000" w:rsidDel="00000000" w:rsidP="00000000" w:rsidRDefault="00000000" w:rsidRPr="00000000" w14:paraId="0000001D">
      <w:pPr>
        <w:spacing w:after="0" w:line="240" w:lineRule="auto"/>
        <w:ind w:left="1440" w:hanging="443"/>
        <w:jc w:val="both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750" w:right="667.79527559055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Requests 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Secretariat of the Commission to employ all necessary efforts to mobilize resources that would assist the Working Group to carry out its mandate.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Done in Banjul, The Islamic Republic of The Gambia, 25 February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2498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Z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VNczaBllldLH3vY+JauyiRmXw==">AMUW2mV1DEuFacBGfHC6JHQna7uNMc7V6O0kB7DGxXrkiA4G93y4DCWs8KRlef66b7BnpQ5NCzd3KP893BHG3zLknmu1kY8dSJvCl/fAw95MT8mQtXCZIakMXjTwWTbwOSq5gydRQK8D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2022-02-24T17:20:00Z</dcterms:created>
  <dc:creator>HOME</dc:creator>
</cp:coreProperties>
</file>