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75" w:rsidRPr="00676A75" w:rsidRDefault="00676A75" w:rsidP="00676A75">
      <w:pPr>
        <w:spacing w:before="241" w:after="0" w:line="240" w:lineRule="auto"/>
        <w:ind w:left="477"/>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lang w:eastAsia="en-ZA"/>
        </w:rPr>
        <w:t xml:space="preserve">ACHPR/Res. 331 (EXT.OS/XIX) 2016: </w:t>
      </w:r>
      <w:r w:rsidRPr="00676A75">
        <w:rPr>
          <w:rFonts w:ascii="Book Antiqua" w:eastAsia="Times New Roman" w:hAnsi="Book Antiqua" w:cs="Times New Roman"/>
          <w:b/>
          <w:bCs/>
          <w:color w:val="000000"/>
          <w:sz w:val="24"/>
          <w:szCs w:val="24"/>
          <w:lang w:eastAsia="en-ZA"/>
        </w:rPr>
        <w:t>Resolution on Elections in Africa</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right="243"/>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i/>
          <w:iCs/>
          <w:color w:val="000000"/>
          <w:sz w:val="24"/>
          <w:szCs w:val="24"/>
          <w:lang w:eastAsia="en-ZA"/>
        </w:rPr>
        <w:t>The African Commission on Human and Peoples’ Rights (the Commission), meeting at its 19</w:t>
      </w:r>
      <w:r w:rsidRPr="00676A75">
        <w:rPr>
          <w:rFonts w:ascii="Book Antiqua" w:eastAsia="Times New Roman" w:hAnsi="Book Antiqua" w:cs="Times New Roman"/>
          <w:i/>
          <w:iCs/>
          <w:color w:val="000000"/>
          <w:sz w:val="16"/>
          <w:szCs w:val="16"/>
          <w:vertAlign w:val="superscript"/>
          <w:lang w:eastAsia="en-ZA"/>
        </w:rPr>
        <w:t xml:space="preserve">th </w:t>
      </w:r>
      <w:r w:rsidRPr="00676A75">
        <w:rPr>
          <w:rFonts w:ascii="Book Antiqua" w:eastAsia="Times New Roman" w:hAnsi="Book Antiqua" w:cs="Times New Roman"/>
          <w:i/>
          <w:iCs/>
          <w:color w:val="000000"/>
          <w:sz w:val="24"/>
          <w:szCs w:val="24"/>
          <w:lang w:eastAsia="en-ZA"/>
        </w:rPr>
        <w:t>Extra-Ordinary Session, held in Banjul, The Islamic Republic of The Gambia, from 16 to 25 February 2016;</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right="248"/>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Recalling </w:t>
      </w:r>
      <w:r w:rsidRPr="00676A75">
        <w:rPr>
          <w:rFonts w:ascii="Book Antiqua" w:eastAsia="Times New Roman" w:hAnsi="Book Antiqua" w:cs="Times New Roman"/>
          <w:color w:val="000000"/>
          <w:sz w:val="24"/>
          <w:szCs w:val="24"/>
          <w:lang w:eastAsia="en-ZA"/>
        </w:rPr>
        <w:t>its mandate to promote and protect human and peoples’ rights under the African Charter on Human and Peoples’ Rights (the African Charter);</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right="242"/>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Recalling further </w:t>
      </w:r>
      <w:r w:rsidRPr="00676A75">
        <w:rPr>
          <w:rFonts w:ascii="Book Antiqua" w:eastAsia="Times New Roman" w:hAnsi="Book Antiqua" w:cs="Times New Roman"/>
          <w:color w:val="000000"/>
          <w:sz w:val="24"/>
          <w:szCs w:val="24"/>
          <w:lang w:eastAsia="en-ZA"/>
        </w:rPr>
        <w:t>Article 13(1) of the African Charter which stipulates that “every citizen shall have the right to participate freely in the government of his country, either directly or through freely chosen representatives in accordance with the provisions of the law;”</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before="1" w:after="0" w:line="240" w:lineRule="auto"/>
        <w:ind w:left="477" w:right="244"/>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Considering </w:t>
      </w:r>
      <w:r w:rsidRPr="00676A75">
        <w:rPr>
          <w:rFonts w:ascii="Book Antiqua" w:eastAsia="Times New Roman" w:hAnsi="Book Antiqua" w:cs="Times New Roman"/>
          <w:color w:val="000000"/>
          <w:sz w:val="24"/>
          <w:szCs w:val="24"/>
          <w:lang w:eastAsia="en-ZA"/>
        </w:rPr>
        <w:t>the African Charter on Democracy, Elections and Governance (the African Charter on Democracy) which emphasizes the importance of entrenching a political culture of change of power based on the holding of regular, free, fair and transparent elections conducted by competent, independent and impartial national electoral bodies;</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before="1" w:after="0" w:line="240" w:lineRule="auto"/>
        <w:ind w:left="477" w:right="246"/>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Further considering </w:t>
      </w:r>
      <w:r w:rsidRPr="00676A75">
        <w:rPr>
          <w:rFonts w:ascii="Book Antiqua" w:eastAsia="Times New Roman" w:hAnsi="Book Antiqua" w:cs="Times New Roman"/>
          <w:color w:val="000000"/>
          <w:sz w:val="24"/>
          <w:szCs w:val="24"/>
          <w:lang w:eastAsia="en-ZA"/>
        </w:rPr>
        <w:t>Article 11 of the African Charter on Democracy which calls on State Parties to develop the necessary legislative and policy frameworks to establish and strengthen a culture of democracy and peace;</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right="247"/>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Cognizant </w:t>
      </w:r>
      <w:r w:rsidRPr="00676A75">
        <w:rPr>
          <w:rFonts w:ascii="Book Antiqua" w:eastAsia="Times New Roman" w:hAnsi="Book Antiqua" w:cs="Times New Roman"/>
          <w:color w:val="000000"/>
          <w:sz w:val="24"/>
          <w:szCs w:val="24"/>
          <w:lang w:eastAsia="en-ZA"/>
        </w:rPr>
        <w:t>of the provisions of Article 9 of the Protocol to the African Charter on Human and Peoples’ Rights on the Rights of Women in Africa which calls on State Parties to take specific positive action to promote participative governance and the equal participation of women in the political life of their countries;</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right="103"/>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Bearing in mind </w:t>
      </w:r>
      <w:r w:rsidRPr="00676A75">
        <w:rPr>
          <w:rFonts w:ascii="Book Antiqua" w:eastAsia="Times New Roman" w:hAnsi="Book Antiqua" w:cs="Times New Roman"/>
          <w:color w:val="000000"/>
          <w:sz w:val="24"/>
          <w:szCs w:val="24"/>
          <w:lang w:eastAsia="en-ZA"/>
        </w:rPr>
        <w:t>its previous Resolutions on elections, including: Resolutions ACHPR/Res.23 (XIX) 96; ACHPR/Res.133 (XXXXIIII) 08; ACHPR/Res.164 (XLVII) 2010; ACHPR/Res.174 (XLVIII) 2010; ACHPR/Res.232 (EXT.OS/XIII) 2013; ACHPR/Res.239 (EXT.OS/XIV) 2013; ACHPR/Res. 272 (LV) 2014; and ACHPR/Res.293 (EXT.OS/XVII) 2015;</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right="247"/>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Emphasizing </w:t>
      </w:r>
      <w:r w:rsidRPr="00676A75">
        <w:rPr>
          <w:rFonts w:ascii="Book Antiqua" w:eastAsia="Times New Roman" w:hAnsi="Book Antiqua" w:cs="Times New Roman"/>
          <w:color w:val="000000"/>
          <w:sz w:val="24"/>
          <w:szCs w:val="24"/>
          <w:lang w:eastAsia="en-ZA"/>
        </w:rPr>
        <w:t>the importance of peaceful, free, fair and transparent elections and referenda, and the acceptance by all parties of the results;</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before="1" w:after="0" w:line="240" w:lineRule="auto"/>
        <w:ind w:left="477" w:right="246"/>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Concerned </w:t>
      </w:r>
      <w:r w:rsidRPr="00676A75">
        <w:rPr>
          <w:rFonts w:ascii="Book Antiqua" w:eastAsia="Times New Roman" w:hAnsi="Book Antiqua" w:cs="Times New Roman"/>
          <w:color w:val="000000"/>
          <w:sz w:val="24"/>
          <w:szCs w:val="24"/>
          <w:lang w:eastAsia="en-ZA"/>
        </w:rPr>
        <w:t>by the deterioration of the human rights situation in some African countries before, during, and after elections and the irregularities surrounding electoral processes that can lead to the breakdown of the rule of law;</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right="244"/>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Congratulates </w:t>
      </w:r>
      <w:r w:rsidRPr="00676A75">
        <w:rPr>
          <w:rFonts w:ascii="Book Antiqua" w:eastAsia="Times New Roman" w:hAnsi="Book Antiqua" w:cs="Times New Roman"/>
          <w:color w:val="000000"/>
          <w:sz w:val="24"/>
          <w:szCs w:val="24"/>
          <w:lang w:eastAsia="en-ZA"/>
        </w:rPr>
        <w:t xml:space="preserve">African countries that have held successful elections, in particular countries which are emerging from conflict such as the Central </w:t>
      </w:r>
      <w:r w:rsidRPr="00676A75">
        <w:rPr>
          <w:rFonts w:ascii="Book Antiqua" w:eastAsia="Times New Roman" w:hAnsi="Book Antiqua" w:cs="Times New Roman"/>
          <w:color w:val="000000"/>
          <w:sz w:val="24"/>
          <w:szCs w:val="24"/>
          <w:lang w:eastAsia="en-ZA"/>
        </w:rPr>
        <w:lastRenderedPageBreak/>
        <w:t>African Republic, and further</w:t>
      </w:r>
      <w:r>
        <w:rPr>
          <w:rFonts w:ascii="Times New Roman" w:eastAsia="Times New Roman" w:hAnsi="Times New Roman" w:cs="Times New Roman"/>
          <w:sz w:val="24"/>
          <w:szCs w:val="24"/>
          <w:lang w:eastAsia="en-ZA"/>
        </w:rPr>
        <w:t xml:space="preserve"> </w:t>
      </w:r>
      <w:r w:rsidRPr="00676A75">
        <w:rPr>
          <w:rFonts w:ascii="Book Antiqua" w:eastAsia="Times New Roman" w:hAnsi="Book Antiqua" w:cs="Times New Roman"/>
          <w:color w:val="000000"/>
          <w:sz w:val="24"/>
          <w:szCs w:val="24"/>
          <w:lang w:eastAsia="en-ZA"/>
        </w:rPr>
        <w:t>commends the African Union and the international community for the support given to these countries;</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right="243"/>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t xml:space="preserve">Noting </w:t>
      </w:r>
      <w:r w:rsidRPr="00676A75">
        <w:rPr>
          <w:rFonts w:ascii="Book Antiqua" w:eastAsia="Times New Roman" w:hAnsi="Book Antiqua" w:cs="Times New Roman"/>
          <w:color w:val="000000"/>
          <w:sz w:val="24"/>
          <w:szCs w:val="24"/>
          <w:lang w:eastAsia="en-ZA"/>
        </w:rPr>
        <w:t>that elections will be held in the following State Parties in 2016: Benin, Cape Verde, Chad, Comoros, Côte d’Ivoire, Djibouti, the Democratic Republic of Congo, Equatorial Guinea, Gabon, The Islamic Republic of The Gambia, Ghana, Republic of Congo, Sao Tome and Principe, Seychelles, Somalia, Zambia and Zanzibar (in Tanzania);</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jc w:val="both"/>
        <w:rPr>
          <w:rFonts w:ascii="Times New Roman" w:eastAsia="Times New Roman" w:hAnsi="Times New Roman" w:cs="Times New Roman"/>
          <w:sz w:val="24"/>
          <w:szCs w:val="24"/>
          <w:lang w:eastAsia="en-ZA"/>
        </w:rPr>
      </w:pPr>
      <w:r w:rsidRPr="00676A75">
        <w:rPr>
          <w:rFonts w:ascii="Book Antiqua" w:eastAsia="Times New Roman" w:hAnsi="Book Antiqua" w:cs="Times New Roman"/>
          <w:color w:val="000000"/>
          <w:sz w:val="24"/>
          <w:szCs w:val="24"/>
          <w:lang w:eastAsia="en-ZA"/>
        </w:rPr>
        <w:t>The Commission:</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836"/>
        <w:textAlignment w:val="baseline"/>
        <w:rPr>
          <w:rFonts w:ascii="Book Antiqua" w:eastAsia="Times New Roman" w:hAnsi="Book Antiqua" w:cs="Times New Roman"/>
          <w:color w:val="000000"/>
          <w:sz w:val="24"/>
          <w:szCs w:val="24"/>
          <w:lang w:eastAsia="en-ZA"/>
        </w:rPr>
      </w:pPr>
      <w:proofErr w:type="spellStart"/>
      <w:r w:rsidRPr="00676A75">
        <w:rPr>
          <w:rFonts w:ascii="Book Antiqua" w:eastAsia="Times New Roman" w:hAnsi="Book Antiqua" w:cs="Times New Roman"/>
          <w:color w:val="000000"/>
          <w:sz w:val="24"/>
          <w:szCs w:val="24"/>
          <w:lang w:eastAsia="en-ZA"/>
        </w:rPr>
        <w:t>i</w:t>
      </w:r>
      <w:proofErr w:type="spellEnd"/>
      <w:r w:rsidRPr="00676A75">
        <w:rPr>
          <w:rFonts w:ascii="Book Antiqua" w:eastAsia="Times New Roman" w:hAnsi="Book Antiqua" w:cs="Times New Roman"/>
          <w:color w:val="000000"/>
          <w:sz w:val="24"/>
          <w:szCs w:val="24"/>
          <w:lang w:eastAsia="en-ZA"/>
        </w:rPr>
        <w:t>.</w:t>
      </w:r>
      <w:r w:rsidRPr="00676A75">
        <w:rPr>
          <w:rFonts w:ascii="Book Antiqua" w:eastAsia="Times New Roman" w:hAnsi="Book Antiqua" w:cs="Times New Roman"/>
          <w:color w:val="000000"/>
          <w:sz w:val="24"/>
          <w:szCs w:val="24"/>
          <w:lang w:eastAsia="en-ZA"/>
        </w:rPr>
        <w:tab/>
      </w:r>
      <w:r w:rsidRPr="00676A75">
        <w:rPr>
          <w:rFonts w:ascii="Book Antiqua" w:eastAsia="Times New Roman" w:hAnsi="Book Antiqua" w:cs="Times New Roman"/>
          <w:b/>
          <w:bCs/>
          <w:color w:val="000000"/>
          <w:sz w:val="24"/>
          <w:szCs w:val="24"/>
          <w:lang w:eastAsia="en-ZA"/>
        </w:rPr>
        <w:t xml:space="preserve">Calls on </w:t>
      </w:r>
      <w:r w:rsidRPr="00676A75">
        <w:rPr>
          <w:rFonts w:ascii="Book Antiqua" w:eastAsia="Times New Roman" w:hAnsi="Book Antiqua" w:cs="Times New Roman"/>
          <w:color w:val="000000"/>
          <w:sz w:val="24"/>
          <w:szCs w:val="24"/>
          <w:lang w:eastAsia="en-ZA"/>
        </w:rPr>
        <w:t>State Parties to:</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tabs>
          <w:tab w:val="left" w:pos="720"/>
        </w:tabs>
        <w:spacing w:after="0" w:line="240" w:lineRule="auto"/>
        <w:ind w:left="1193" w:right="249" w:hanging="360"/>
        <w:jc w:val="both"/>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r w:rsidRPr="00676A75">
        <w:rPr>
          <w:rFonts w:ascii="Book Antiqua" w:eastAsia="Times New Roman" w:hAnsi="Book Antiqua" w:cs="Times New Roman"/>
          <w:color w:val="000000"/>
          <w:sz w:val="24"/>
          <w:szCs w:val="24"/>
          <w:lang w:eastAsia="en-ZA"/>
        </w:rPr>
        <w:t>Ensure compliance with the African Charter, and relevant regional and international human rights instruments, during the electoral process;</w:t>
      </w:r>
    </w:p>
    <w:p w:rsidR="00676A75" w:rsidRPr="00676A75" w:rsidRDefault="00676A75" w:rsidP="00676A75">
      <w:pPr>
        <w:tabs>
          <w:tab w:val="left" w:pos="720"/>
        </w:tabs>
        <w:spacing w:before="119" w:after="0" w:line="240" w:lineRule="auto"/>
        <w:ind w:left="1193" w:right="248" w:hanging="360"/>
        <w:jc w:val="both"/>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r w:rsidRPr="00676A75">
        <w:rPr>
          <w:rFonts w:ascii="Book Antiqua" w:eastAsia="Times New Roman" w:hAnsi="Book Antiqua" w:cs="Times New Roman"/>
          <w:color w:val="000000"/>
          <w:sz w:val="24"/>
          <w:szCs w:val="24"/>
          <w:lang w:eastAsia="en-ZA"/>
        </w:rPr>
        <w:t>Create conducive conditions to ensure peaceful, free, fair and transparent elections and referenda in order to allow citizens to exercise their right to vote in an environment free of intimidation, violence, or any other impediment;</w:t>
      </w:r>
    </w:p>
    <w:p w:rsidR="00676A75" w:rsidRPr="00676A75" w:rsidRDefault="00676A75" w:rsidP="00676A75">
      <w:pPr>
        <w:tabs>
          <w:tab w:val="left" w:pos="720"/>
        </w:tabs>
        <w:spacing w:before="121" w:after="0" w:line="240" w:lineRule="auto"/>
        <w:ind w:left="1193" w:right="246" w:hanging="360"/>
        <w:jc w:val="both"/>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r w:rsidRPr="00676A75">
        <w:rPr>
          <w:rFonts w:ascii="Book Antiqua" w:eastAsia="Times New Roman" w:hAnsi="Book Antiqua" w:cs="Times New Roman"/>
          <w:color w:val="000000"/>
          <w:sz w:val="24"/>
          <w:szCs w:val="24"/>
          <w:lang w:eastAsia="en-ZA"/>
        </w:rPr>
        <w:t>Take specific positive action to promote participative governance and the equal participation of women;</w:t>
      </w:r>
    </w:p>
    <w:p w:rsidR="00676A75" w:rsidRPr="00676A75" w:rsidRDefault="00676A75" w:rsidP="00676A75">
      <w:pPr>
        <w:tabs>
          <w:tab w:val="left" w:pos="720"/>
        </w:tabs>
        <w:spacing w:before="119" w:after="0" w:line="240" w:lineRule="auto"/>
        <w:ind w:left="1193" w:right="249" w:hanging="360"/>
        <w:jc w:val="both"/>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r w:rsidRPr="00676A75">
        <w:rPr>
          <w:rFonts w:ascii="Book Antiqua" w:eastAsia="Times New Roman" w:hAnsi="Book Antiqua" w:cs="Times New Roman"/>
          <w:color w:val="000000"/>
          <w:sz w:val="24"/>
          <w:szCs w:val="24"/>
          <w:lang w:eastAsia="en-ZA"/>
        </w:rPr>
        <w:t>Take all measures to prevent, investigate and prosecute human rights violations which may occur during the election period, and provide adequate redress to victims;</w:t>
      </w:r>
    </w:p>
    <w:p w:rsidR="00676A75" w:rsidRPr="00676A75" w:rsidRDefault="00676A75" w:rsidP="00676A75">
      <w:pPr>
        <w:tabs>
          <w:tab w:val="left" w:pos="720"/>
        </w:tabs>
        <w:spacing w:before="121" w:after="0" w:line="240" w:lineRule="auto"/>
        <w:ind w:left="1193" w:right="248" w:hanging="360"/>
        <w:jc w:val="both"/>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r w:rsidRPr="00676A75">
        <w:rPr>
          <w:rFonts w:ascii="Book Antiqua" w:eastAsia="Times New Roman" w:hAnsi="Book Antiqua" w:cs="Times New Roman"/>
          <w:color w:val="000000"/>
          <w:sz w:val="24"/>
          <w:szCs w:val="24"/>
          <w:lang w:eastAsia="en-ZA"/>
        </w:rPr>
        <w:t>Ensure that all parties participating in the elections, in particular the opposition parties, are allowed to conduct their campaign freely and are given equitable access to State controlled media and resources;</w:t>
      </w:r>
    </w:p>
    <w:p w:rsidR="00676A75" w:rsidRPr="00676A75" w:rsidRDefault="00676A75" w:rsidP="00676A75">
      <w:pPr>
        <w:tabs>
          <w:tab w:val="left" w:pos="720"/>
        </w:tabs>
        <w:spacing w:before="120" w:after="0" w:line="240" w:lineRule="auto"/>
        <w:ind w:left="1193" w:right="246" w:hanging="360"/>
        <w:jc w:val="both"/>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r w:rsidRPr="00676A75">
        <w:rPr>
          <w:rFonts w:ascii="Book Antiqua" w:eastAsia="Times New Roman" w:hAnsi="Book Antiqua" w:cs="Times New Roman"/>
          <w:color w:val="000000"/>
          <w:sz w:val="24"/>
          <w:szCs w:val="24"/>
          <w:lang w:eastAsia="en-ZA"/>
        </w:rPr>
        <w:t>Respect the independence of the national institution responsible for the management of elections and provide sufficient resources to carry out its mission;</w:t>
      </w:r>
    </w:p>
    <w:p w:rsidR="00676A75" w:rsidRPr="00676A75" w:rsidRDefault="00676A75" w:rsidP="00676A75">
      <w:pPr>
        <w:tabs>
          <w:tab w:val="left" w:pos="720"/>
        </w:tabs>
        <w:spacing w:before="120" w:after="0" w:line="240" w:lineRule="auto"/>
        <w:ind w:left="1193" w:right="250" w:hanging="360"/>
        <w:jc w:val="both"/>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r w:rsidRPr="00676A75">
        <w:rPr>
          <w:rFonts w:ascii="Book Antiqua" w:eastAsia="Times New Roman" w:hAnsi="Book Antiqua" w:cs="Times New Roman"/>
          <w:color w:val="000000"/>
          <w:sz w:val="24"/>
          <w:szCs w:val="24"/>
          <w:lang w:eastAsia="en-ZA"/>
        </w:rPr>
        <w:t>Allow the participation of independent election observers to observe the entire electoral process;</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tabs>
          <w:tab w:val="left" w:pos="720"/>
        </w:tabs>
        <w:spacing w:after="0" w:line="240" w:lineRule="auto"/>
        <w:ind w:left="836" w:hanging="36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ab/>
        <w:t xml:space="preserve">ii.    </w:t>
      </w:r>
      <w:r w:rsidRPr="00676A75">
        <w:rPr>
          <w:rFonts w:ascii="Book Antiqua" w:eastAsia="Times New Roman" w:hAnsi="Book Antiqua" w:cs="Times New Roman"/>
          <w:b/>
          <w:bCs/>
          <w:color w:val="000000"/>
          <w:sz w:val="24"/>
          <w:szCs w:val="24"/>
          <w:lang w:eastAsia="en-ZA"/>
        </w:rPr>
        <w:t xml:space="preserve">Calls on </w:t>
      </w:r>
      <w:r w:rsidRPr="00676A75">
        <w:rPr>
          <w:rFonts w:ascii="Book Antiqua" w:eastAsia="Times New Roman" w:hAnsi="Book Antiqua" w:cs="Times New Roman"/>
          <w:color w:val="000000"/>
          <w:sz w:val="24"/>
          <w:szCs w:val="24"/>
          <w:lang w:eastAsia="en-ZA"/>
        </w:rPr>
        <w:t>all candidates and political parties to:</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tabs>
          <w:tab w:val="left" w:pos="720"/>
        </w:tabs>
        <w:spacing w:after="0" w:line="240" w:lineRule="auto"/>
        <w:ind w:left="1193" w:right="249" w:hanging="360"/>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proofErr w:type="gramStart"/>
      <w:r w:rsidRPr="00676A75">
        <w:rPr>
          <w:rFonts w:ascii="Book Antiqua" w:eastAsia="Times New Roman" w:hAnsi="Book Antiqua" w:cs="Times New Roman"/>
          <w:color w:val="000000"/>
          <w:sz w:val="24"/>
          <w:szCs w:val="24"/>
          <w:lang w:eastAsia="en-ZA"/>
        </w:rPr>
        <w:t>Accept</w:t>
      </w:r>
      <w:proofErr w:type="gramEnd"/>
      <w:r w:rsidRPr="00676A75">
        <w:rPr>
          <w:rFonts w:ascii="Book Antiqua" w:eastAsia="Times New Roman" w:hAnsi="Book Antiqua" w:cs="Times New Roman"/>
          <w:color w:val="000000"/>
          <w:sz w:val="24"/>
          <w:szCs w:val="24"/>
          <w:lang w:eastAsia="en-ZA"/>
        </w:rPr>
        <w:t xml:space="preserve"> the outcome of elections, or challenge the results through legally recognised structures established to resolve electoral disputes;</w:t>
      </w:r>
    </w:p>
    <w:p w:rsidR="00676A75" w:rsidRPr="00676A75" w:rsidRDefault="00676A75" w:rsidP="00676A75">
      <w:pPr>
        <w:tabs>
          <w:tab w:val="left" w:pos="720"/>
        </w:tabs>
        <w:spacing w:before="121" w:after="0" w:line="240" w:lineRule="auto"/>
        <w:ind w:left="1192" w:hanging="360"/>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r w:rsidRPr="00676A75">
        <w:rPr>
          <w:rFonts w:ascii="Book Antiqua" w:eastAsia="Times New Roman" w:hAnsi="Book Antiqua" w:cs="Times New Roman"/>
          <w:color w:val="000000"/>
          <w:sz w:val="24"/>
          <w:szCs w:val="24"/>
          <w:lang w:eastAsia="en-ZA"/>
        </w:rPr>
        <w:t>Respect the election laws and regulations;</w:t>
      </w:r>
    </w:p>
    <w:p w:rsidR="00676A75" w:rsidRPr="00676A75" w:rsidRDefault="00676A75" w:rsidP="00E06783">
      <w:pPr>
        <w:tabs>
          <w:tab w:val="left" w:pos="720"/>
        </w:tabs>
        <w:spacing w:before="164" w:after="0" w:line="240" w:lineRule="auto"/>
        <w:ind w:left="1193" w:right="246" w:hanging="360"/>
        <w:textAlignment w:val="baseline"/>
        <w:rPr>
          <w:rFonts w:ascii="Book Antiqua" w:eastAsia="Times New Roman" w:hAnsi="Book Antiqua" w:cs="Times New Roman"/>
          <w:color w:val="000000"/>
          <w:sz w:val="24"/>
          <w:szCs w:val="24"/>
          <w:lang w:eastAsia="en-ZA"/>
        </w:rPr>
      </w:pPr>
      <w:r w:rsidRPr="00676A75">
        <w:rPr>
          <w:rFonts w:ascii="Symbol" w:eastAsia="Times New Roman" w:hAnsi="Symbol" w:cs="Times New Roman"/>
          <w:color w:val="000000"/>
          <w:sz w:val="20"/>
          <w:szCs w:val="24"/>
          <w:lang w:eastAsia="en-ZA"/>
        </w:rPr>
        <w:t></w:t>
      </w:r>
      <w:r w:rsidRPr="00676A75">
        <w:rPr>
          <w:rFonts w:ascii="Symbol" w:eastAsia="Times New Roman" w:hAnsi="Symbol" w:cs="Times New Roman"/>
          <w:color w:val="000000"/>
          <w:sz w:val="20"/>
          <w:szCs w:val="24"/>
          <w:lang w:eastAsia="en-ZA"/>
        </w:rPr>
        <w:tab/>
      </w:r>
      <w:r w:rsidRPr="00676A75">
        <w:rPr>
          <w:rFonts w:ascii="Book Antiqua" w:eastAsia="Times New Roman" w:hAnsi="Book Antiqua" w:cs="Times New Roman"/>
          <w:color w:val="000000"/>
          <w:sz w:val="24"/>
          <w:szCs w:val="24"/>
          <w:lang w:eastAsia="en-ZA"/>
        </w:rPr>
        <w:t>Ensure that their supporters do not engage in, or incite, acts of violence either before, during or after the elections;</w:t>
      </w:r>
      <w:bookmarkStart w:id="0" w:name="_GoBack"/>
      <w:bookmarkEnd w:id="0"/>
    </w:p>
    <w:p w:rsidR="00676A75" w:rsidRPr="00676A75" w:rsidRDefault="00676A75" w:rsidP="00676A75">
      <w:pPr>
        <w:tabs>
          <w:tab w:val="left" w:pos="720"/>
        </w:tabs>
        <w:spacing w:before="240" w:after="0" w:line="240" w:lineRule="auto"/>
        <w:ind w:left="836" w:hanging="36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ab/>
        <w:t>iii</w:t>
      </w:r>
      <w:proofErr w:type="gramStart"/>
      <w:r>
        <w:rPr>
          <w:rFonts w:ascii="Book Antiqua" w:eastAsia="Times New Roman" w:hAnsi="Book Antiqua" w:cs="Times New Roman"/>
          <w:color w:val="000000"/>
          <w:sz w:val="24"/>
          <w:szCs w:val="24"/>
          <w:lang w:eastAsia="en-ZA"/>
        </w:rPr>
        <w:t xml:space="preserve">.  </w:t>
      </w:r>
      <w:r w:rsidRPr="00676A75">
        <w:rPr>
          <w:rFonts w:ascii="Book Antiqua" w:eastAsia="Times New Roman" w:hAnsi="Book Antiqua" w:cs="Times New Roman"/>
          <w:b/>
          <w:bCs/>
          <w:color w:val="000000"/>
          <w:sz w:val="24"/>
          <w:szCs w:val="24"/>
          <w:lang w:eastAsia="en-ZA"/>
        </w:rPr>
        <w:t>Calls</w:t>
      </w:r>
      <w:proofErr w:type="gramEnd"/>
      <w:r w:rsidRPr="00676A75">
        <w:rPr>
          <w:rFonts w:ascii="Book Antiqua" w:eastAsia="Times New Roman" w:hAnsi="Book Antiqua" w:cs="Times New Roman"/>
          <w:b/>
          <w:bCs/>
          <w:color w:val="000000"/>
          <w:sz w:val="24"/>
          <w:szCs w:val="24"/>
          <w:lang w:eastAsia="en-ZA"/>
        </w:rPr>
        <w:t xml:space="preserve"> on </w:t>
      </w:r>
      <w:r w:rsidRPr="00676A75">
        <w:rPr>
          <w:rFonts w:ascii="Book Antiqua" w:eastAsia="Times New Roman" w:hAnsi="Book Antiqua" w:cs="Times New Roman"/>
          <w:color w:val="000000"/>
          <w:sz w:val="24"/>
          <w:szCs w:val="24"/>
          <w:lang w:eastAsia="en-ZA"/>
        </w:rPr>
        <w:t>election observers to carry out their duty independently;</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after="0" w:line="240" w:lineRule="auto"/>
        <w:ind w:left="477"/>
        <w:rPr>
          <w:rFonts w:ascii="Times New Roman" w:eastAsia="Times New Roman" w:hAnsi="Times New Roman" w:cs="Times New Roman"/>
          <w:sz w:val="24"/>
          <w:szCs w:val="24"/>
          <w:lang w:eastAsia="en-ZA"/>
        </w:rPr>
      </w:pPr>
      <w:r w:rsidRPr="00676A75">
        <w:rPr>
          <w:rFonts w:ascii="Book Antiqua" w:eastAsia="Times New Roman" w:hAnsi="Book Antiqua" w:cs="Times New Roman"/>
          <w:b/>
          <w:bCs/>
          <w:color w:val="000000"/>
          <w:sz w:val="24"/>
          <w:szCs w:val="24"/>
          <w:lang w:eastAsia="en-ZA"/>
        </w:rPr>
        <w:lastRenderedPageBreak/>
        <w:t xml:space="preserve">Reiterates </w:t>
      </w:r>
      <w:r w:rsidRPr="00676A75">
        <w:rPr>
          <w:rFonts w:ascii="Book Antiqua" w:eastAsia="Times New Roman" w:hAnsi="Book Antiqua" w:cs="Times New Roman"/>
          <w:color w:val="000000"/>
          <w:sz w:val="24"/>
          <w:szCs w:val="24"/>
          <w:lang w:eastAsia="en-ZA"/>
        </w:rPr>
        <w:t>its call to State Parties which have not done so, to ratify the African Charter on Democracy, Elections and Governance and to ensure its effective implementation.</w:t>
      </w:r>
    </w:p>
    <w:p w:rsidR="00676A75" w:rsidRPr="00676A75" w:rsidRDefault="00676A75" w:rsidP="00676A75">
      <w:pPr>
        <w:spacing w:after="0" w:line="240" w:lineRule="auto"/>
        <w:rPr>
          <w:rFonts w:ascii="Times New Roman" w:eastAsia="Times New Roman" w:hAnsi="Times New Roman" w:cs="Times New Roman"/>
          <w:sz w:val="24"/>
          <w:szCs w:val="24"/>
          <w:lang w:eastAsia="en-ZA"/>
        </w:rPr>
      </w:pPr>
    </w:p>
    <w:p w:rsidR="00676A75" w:rsidRPr="00676A75" w:rsidRDefault="00676A75" w:rsidP="00676A75">
      <w:pPr>
        <w:spacing w:before="1" w:after="0" w:line="240" w:lineRule="auto"/>
        <w:ind w:left="477"/>
        <w:jc w:val="both"/>
        <w:outlineLvl w:val="3"/>
        <w:rPr>
          <w:rFonts w:ascii="Times New Roman" w:eastAsia="Times New Roman" w:hAnsi="Times New Roman" w:cs="Times New Roman"/>
          <w:b/>
          <w:bCs/>
          <w:sz w:val="24"/>
          <w:szCs w:val="24"/>
          <w:lang w:eastAsia="en-ZA"/>
        </w:rPr>
      </w:pPr>
      <w:r w:rsidRPr="00676A75">
        <w:rPr>
          <w:rFonts w:ascii="Book Antiqua" w:eastAsia="Times New Roman" w:hAnsi="Book Antiqua" w:cs="Times New Roman"/>
          <w:b/>
          <w:bCs/>
          <w:color w:val="000000"/>
          <w:sz w:val="24"/>
          <w:szCs w:val="24"/>
          <w:lang w:eastAsia="en-ZA"/>
        </w:rPr>
        <w:t xml:space="preserve">Done in Banjul, </w:t>
      </w:r>
      <w:proofErr w:type="gramStart"/>
      <w:r w:rsidRPr="00676A75">
        <w:rPr>
          <w:rFonts w:ascii="Book Antiqua" w:eastAsia="Times New Roman" w:hAnsi="Book Antiqua" w:cs="Times New Roman"/>
          <w:b/>
          <w:bCs/>
          <w:color w:val="000000"/>
          <w:sz w:val="24"/>
          <w:szCs w:val="24"/>
          <w:lang w:eastAsia="en-ZA"/>
        </w:rPr>
        <w:t>The</w:t>
      </w:r>
      <w:proofErr w:type="gramEnd"/>
      <w:r w:rsidRPr="00676A75">
        <w:rPr>
          <w:rFonts w:ascii="Book Antiqua" w:eastAsia="Times New Roman" w:hAnsi="Book Antiqua" w:cs="Times New Roman"/>
          <w:b/>
          <w:bCs/>
          <w:color w:val="000000"/>
          <w:sz w:val="24"/>
          <w:szCs w:val="24"/>
          <w:lang w:eastAsia="en-ZA"/>
        </w:rPr>
        <w:t xml:space="preserve"> Islamic Republic of The Gambia, 25 February 2016</w:t>
      </w:r>
    </w:p>
    <w:p w:rsidR="00667D87" w:rsidRDefault="00E06783" w:rsidP="00676A75">
      <w:pPr>
        <w:jc w:val="both"/>
      </w:pP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820AA"/>
    <w:multiLevelType w:val="multilevel"/>
    <w:tmpl w:val="A4E8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A0846"/>
    <w:multiLevelType w:val="hybridMultilevel"/>
    <w:tmpl w:val="22BC1304"/>
    <w:lvl w:ilvl="0" w:tplc="FE6625F0">
      <w:start w:val="3"/>
      <w:numFmt w:val="lowerRoman"/>
      <w:lvlText w:val="%1."/>
      <w:lvlJc w:val="right"/>
      <w:pPr>
        <w:tabs>
          <w:tab w:val="num" w:pos="720"/>
        </w:tabs>
        <w:ind w:left="720" w:hanging="360"/>
      </w:pPr>
    </w:lvl>
    <w:lvl w:ilvl="1" w:tplc="D2AA4138" w:tentative="1">
      <w:start w:val="1"/>
      <w:numFmt w:val="decimal"/>
      <w:lvlText w:val="%2."/>
      <w:lvlJc w:val="left"/>
      <w:pPr>
        <w:tabs>
          <w:tab w:val="num" w:pos="1440"/>
        </w:tabs>
        <w:ind w:left="1440" w:hanging="360"/>
      </w:pPr>
    </w:lvl>
    <w:lvl w:ilvl="2" w:tplc="7F2A0E7A" w:tentative="1">
      <w:start w:val="1"/>
      <w:numFmt w:val="decimal"/>
      <w:lvlText w:val="%3."/>
      <w:lvlJc w:val="left"/>
      <w:pPr>
        <w:tabs>
          <w:tab w:val="num" w:pos="2160"/>
        </w:tabs>
        <w:ind w:left="2160" w:hanging="360"/>
      </w:pPr>
    </w:lvl>
    <w:lvl w:ilvl="3" w:tplc="AE6611EA" w:tentative="1">
      <w:start w:val="1"/>
      <w:numFmt w:val="decimal"/>
      <w:lvlText w:val="%4."/>
      <w:lvlJc w:val="left"/>
      <w:pPr>
        <w:tabs>
          <w:tab w:val="num" w:pos="2880"/>
        </w:tabs>
        <w:ind w:left="2880" w:hanging="360"/>
      </w:pPr>
    </w:lvl>
    <w:lvl w:ilvl="4" w:tplc="7B26D71E" w:tentative="1">
      <w:start w:val="1"/>
      <w:numFmt w:val="decimal"/>
      <w:lvlText w:val="%5."/>
      <w:lvlJc w:val="left"/>
      <w:pPr>
        <w:tabs>
          <w:tab w:val="num" w:pos="3600"/>
        </w:tabs>
        <w:ind w:left="3600" w:hanging="360"/>
      </w:pPr>
    </w:lvl>
    <w:lvl w:ilvl="5" w:tplc="3378CF4C" w:tentative="1">
      <w:start w:val="1"/>
      <w:numFmt w:val="decimal"/>
      <w:lvlText w:val="%6."/>
      <w:lvlJc w:val="left"/>
      <w:pPr>
        <w:tabs>
          <w:tab w:val="num" w:pos="4320"/>
        </w:tabs>
        <w:ind w:left="4320" w:hanging="360"/>
      </w:pPr>
    </w:lvl>
    <w:lvl w:ilvl="6" w:tplc="519AF5DE" w:tentative="1">
      <w:start w:val="1"/>
      <w:numFmt w:val="decimal"/>
      <w:lvlText w:val="%7."/>
      <w:lvlJc w:val="left"/>
      <w:pPr>
        <w:tabs>
          <w:tab w:val="num" w:pos="5040"/>
        </w:tabs>
        <w:ind w:left="5040" w:hanging="360"/>
      </w:pPr>
    </w:lvl>
    <w:lvl w:ilvl="7" w:tplc="D388977A" w:tentative="1">
      <w:start w:val="1"/>
      <w:numFmt w:val="decimal"/>
      <w:lvlText w:val="%8."/>
      <w:lvlJc w:val="left"/>
      <w:pPr>
        <w:tabs>
          <w:tab w:val="num" w:pos="5760"/>
        </w:tabs>
        <w:ind w:left="5760" w:hanging="360"/>
      </w:pPr>
    </w:lvl>
    <w:lvl w:ilvl="8" w:tplc="B5B6826A" w:tentative="1">
      <w:start w:val="1"/>
      <w:numFmt w:val="decimal"/>
      <w:lvlText w:val="%9."/>
      <w:lvlJc w:val="left"/>
      <w:pPr>
        <w:tabs>
          <w:tab w:val="num" w:pos="6480"/>
        </w:tabs>
        <w:ind w:left="6480" w:hanging="360"/>
      </w:pPr>
    </w:lvl>
  </w:abstractNum>
  <w:abstractNum w:abstractNumId="2" w15:restartNumberingAfterBreak="0">
    <w:nsid w:val="60C83047"/>
    <w:multiLevelType w:val="multilevel"/>
    <w:tmpl w:val="924A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6377C"/>
    <w:multiLevelType w:val="hybridMultilevel"/>
    <w:tmpl w:val="B350AFCA"/>
    <w:lvl w:ilvl="0" w:tplc="57A49522">
      <w:start w:val="2"/>
      <w:numFmt w:val="lowerRoman"/>
      <w:lvlText w:val="%1."/>
      <w:lvlJc w:val="right"/>
      <w:pPr>
        <w:tabs>
          <w:tab w:val="num" w:pos="720"/>
        </w:tabs>
        <w:ind w:left="720" w:hanging="360"/>
      </w:pPr>
    </w:lvl>
    <w:lvl w:ilvl="1" w:tplc="C9CC16AC" w:tentative="1">
      <w:start w:val="1"/>
      <w:numFmt w:val="decimal"/>
      <w:lvlText w:val="%2."/>
      <w:lvlJc w:val="left"/>
      <w:pPr>
        <w:tabs>
          <w:tab w:val="num" w:pos="1440"/>
        </w:tabs>
        <w:ind w:left="1440" w:hanging="360"/>
      </w:pPr>
    </w:lvl>
    <w:lvl w:ilvl="2" w:tplc="080C12D2" w:tentative="1">
      <w:start w:val="1"/>
      <w:numFmt w:val="decimal"/>
      <w:lvlText w:val="%3."/>
      <w:lvlJc w:val="left"/>
      <w:pPr>
        <w:tabs>
          <w:tab w:val="num" w:pos="2160"/>
        </w:tabs>
        <w:ind w:left="2160" w:hanging="360"/>
      </w:pPr>
    </w:lvl>
    <w:lvl w:ilvl="3" w:tplc="46F8E4AC" w:tentative="1">
      <w:start w:val="1"/>
      <w:numFmt w:val="decimal"/>
      <w:lvlText w:val="%4."/>
      <w:lvlJc w:val="left"/>
      <w:pPr>
        <w:tabs>
          <w:tab w:val="num" w:pos="2880"/>
        </w:tabs>
        <w:ind w:left="2880" w:hanging="360"/>
      </w:pPr>
    </w:lvl>
    <w:lvl w:ilvl="4" w:tplc="459251C6" w:tentative="1">
      <w:start w:val="1"/>
      <w:numFmt w:val="decimal"/>
      <w:lvlText w:val="%5."/>
      <w:lvlJc w:val="left"/>
      <w:pPr>
        <w:tabs>
          <w:tab w:val="num" w:pos="3600"/>
        </w:tabs>
        <w:ind w:left="3600" w:hanging="360"/>
      </w:pPr>
    </w:lvl>
    <w:lvl w:ilvl="5" w:tplc="75302F88" w:tentative="1">
      <w:start w:val="1"/>
      <w:numFmt w:val="decimal"/>
      <w:lvlText w:val="%6."/>
      <w:lvlJc w:val="left"/>
      <w:pPr>
        <w:tabs>
          <w:tab w:val="num" w:pos="4320"/>
        </w:tabs>
        <w:ind w:left="4320" w:hanging="360"/>
      </w:pPr>
    </w:lvl>
    <w:lvl w:ilvl="6" w:tplc="EDFC9702" w:tentative="1">
      <w:start w:val="1"/>
      <w:numFmt w:val="decimal"/>
      <w:lvlText w:val="%7."/>
      <w:lvlJc w:val="left"/>
      <w:pPr>
        <w:tabs>
          <w:tab w:val="num" w:pos="5040"/>
        </w:tabs>
        <w:ind w:left="5040" w:hanging="360"/>
      </w:pPr>
    </w:lvl>
    <w:lvl w:ilvl="7" w:tplc="D7B4C212" w:tentative="1">
      <w:start w:val="1"/>
      <w:numFmt w:val="decimal"/>
      <w:lvlText w:val="%8."/>
      <w:lvlJc w:val="left"/>
      <w:pPr>
        <w:tabs>
          <w:tab w:val="num" w:pos="5760"/>
        </w:tabs>
        <w:ind w:left="5760" w:hanging="360"/>
      </w:pPr>
    </w:lvl>
    <w:lvl w:ilvl="8" w:tplc="CDB8C7D4" w:tentative="1">
      <w:start w:val="1"/>
      <w:numFmt w:val="decimal"/>
      <w:lvlText w:val="%9."/>
      <w:lvlJc w:val="left"/>
      <w:pPr>
        <w:tabs>
          <w:tab w:val="num" w:pos="6480"/>
        </w:tabs>
        <w:ind w:left="6480" w:hanging="360"/>
      </w:pPr>
    </w:lvl>
  </w:abstractNum>
  <w:abstractNum w:abstractNumId="4" w15:restartNumberingAfterBreak="0">
    <w:nsid w:val="7BA66718"/>
    <w:multiLevelType w:val="multilevel"/>
    <w:tmpl w:val="A11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Roman"/>
        <w:lvlText w:val="%1."/>
        <w:lvlJc w:val="right"/>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75"/>
    <w:rsid w:val="00064C86"/>
    <w:rsid w:val="000A4469"/>
    <w:rsid w:val="00676A75"/>
    <w:rsid w:val="00E067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8FDF5-183A-4A72-B619-8FD835A2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76A7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6A7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76A7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3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2022-02-24T17:29:00Z</dcterms:created>
  <dcterms:modified xsi:type="dcterms:W3CDTF">2022-02-24T17:31:00Z</dcterms:modified>
</cp:coreProperties>
</file>