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38" w:line="240" w:lineRule="auto"/>
        <w:ind w:left="477" w:right="877" w:firstLine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6"/>
          <w:szCs w:val="26"/>
          <w:rtl w:val="0"/>
        </w:rPr>
        <w:t xml:space="preserve">ACHPR/Res. 338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(LVIII)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6"/>
          <w:szCs w:val="26"/>
          <w:rtl w:val="0"/>
        </w:rPr>
        <w:t xml:space="preserve">2016: Resolution on the Establishment of a Resolutions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The African Commission on Human and Peoples’ Rights (the Commission), meeting at its 58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Ordinary Session held in Banjul, Islamic Republic of The Gambia, from 6 to 20 April 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77" w:right="873"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mandate to promote and protect human and peoples’ rights under Article 45 of the African Charter on Human and Peoples’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Rule 23 (1) of its Rules of Procedure which provides that: “The Commission may create subsidiary mechanisms such as special rapporteurs, committees and working groups”;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importance of resolutions adopted by the Commission to take into account the human rights situations on the continent with a view to formulating guidance and recommendations on the promotion and protection of human rights in the African Charter;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The Commission: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 i.   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Decides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to establish a Resolutions Committee mandated to:</w:t>
      </w:r>
    </w:p>
    <w:p w:rsidR="00000000" w:rsidDel="00000000" w:rsidP="00000000" w:rsidRDefault="00000000" w:rsidRPr="00000000" w14:paraId="0000000E">
      <w:pPr>
        <w:tabs>
          <w:tab w:val="left" w:pos="720"/>
        </w:tabs>
        <w:spacing w:after="0" w:line="240" w:lineRule="auto"/>
        <w:ind w:left="1196" w:right="951.2598425196853" w:hanging="36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Collect data and information on situations of human rights violations on the continent that may be addressed in resolutions and make proposals to the Commission;</w:t>
      </w:r>
    </w:p>
    <w:p w:rsidR="00000000" w:rsidDel="00000000" w:rsidP="00000000" w:rsidRDefault="00000000" w:rsidRPr="00000000" w14:paraId="0000000F">
      <w:pPr>
        <w:tabs>
          <w:tab w:val="left" w:pos="720"/>
        </w:tabs>
        <w:spacing w:after="0" w:before="1" w:line="240" w:lineRule="auto"/>
        <w:ind w:left="1196" w:right="875" w:hanging="36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Consider resolutions proposed by subsidiary mechanisms of the Commission prior to their adoption in plenary;</w:t>
      </w:r>
    </w:p>
    <w:p w:rsidR="00000000" w:rsidDel="00000000" w:rsidP="00000000" w:rsidRDefault="00000000" w:rsidRPr="00000000" w14:paraId="00000010">
      <w:pPr>
        <w:tabs>
          <w:tab w:val="left" w:pos="720"/>
        </w:tabs>
        <w:spacing w:after="0" w:line="240" w:lineRule="auto"/>
        <w:ind w:left="1196" w:right="878" w:hanging="36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Ensure that the final versions of resolutions faithfully reflect the observations and comments of Members of the Commission;</w:t>
      </w:r>
    </w:p>
    <w:p w:rsidR="00000000" w:rsidDel="00000000" w:rsidP="00000000" w:rsidRDefault="00000000" w:rsidRPr="00000000" w14:paraId="00000011">
      <w:pPr>
        <w:tabs>
          <w:tab w:val="left" w:pos="720"/>
        </w:tabs>
        <w:spacing w:after="0" w:line="240" w:lineRule="auto"/>
        <w:ind w:left="1196" w:right="877" w:hanging="36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Ensure proper publication and popularisation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of adopted resolutions through the appropriate means;</w:t>
      </w:r>
    </w:p>
    <w:p w:rsidR="00000000" w:rsidDel="00000000" w:rsidP="00000000" w:rsidRDefault="00000000" w:rsidRPr="00000000" w14:paraId="00000012">
      <w:pPr>
        <w:tabs>
          <w:tab w:val="left" w:pos="720"/>
        </w:tabs>
        <w:spacing w:after="0" w:line="240" w:lineRule="auto"/>
        <w:ind w:left="1196" w:hanging="36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Compile and analyse all resolutions of the Commission.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="240" w:lineRule="auto"/>
        <w:ind w:left="997" w:right="878" w:hanging="36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ii.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Appoints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Commissioner Maya Sahli Fadel as Chairperson of the Committee for a period of two years as from 20 April 2016;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spacing w:after="0" w:before="1" w:line="240" w:lineRule="auto"/>
        <w:ind w:left="926" w:right="876" w:hanging="36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iii.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Also appoints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Commissioners Soyata Maiga, Reine Alapini Gansou, Solomon Ayele Dersso and Jamesina Essie L. King as Members of the Committee;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="240" w:lineRule="auto"/>
        <w:ind w:left="931" w:right="878" w:hanging="36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iv.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Requests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Secretariat to provide the Committee with the necessary support.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Done in Banjul, Islamic Republic of The Gambia, on 20 April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717D72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ZA"/>
    </w:rPr>
  </w:style>
  <w:style w:type="paragraph" w:styleId="Heading5">
    <w:name w:val="heading 5"/>
    <w:basedOn w:val="Normal"/>
    <w:link w:val="Heading5Char"/>
    <w:uiPriority w:val="9"/>
    <w:qFormat w:val="1"/>
    <w:rsid w:val="00717D72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717D72"/>
    <w:rPr>
      <w:rFonts w:ascii="Times New Roman" w:cs="Times New Roman" w:eastAsia="Times New Roman" w:hAnsi="Times New Roman"/>
      <w:b w:val="1"/>
      <w:bCs w:val="1"/>
      <w:sz w:val="27"/>
      <w:szCs w:val="27"/>
      <w:lang w:eastAsia="en-ZA"/>
    </w:rPr>
  </w:style>
  <w:style w:type="character" w:styleId="Heading5Char" w:customStyle="1">
    <w:name w:val="Heading 5 Char"/>
    <w:basedOn w:val="DefaultParagraphFont"/>
    <w:link w:val="Heading5"/>
    <w:uiPriority w:val="9"/>
    <w:rsid w:val="00717D72"/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717D7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yUvpGbroJiIwvtd7bM8ZLNidw==">AMUW2mWOO66GZ6ZYmFQ23cAvAxwKgi/7R2K2LmrnOs8aafg14Ivk3Mo1wDjfv6N11FS9ctI+JPOprIMtnzwsGt5mV0J02wZp+H3afCMBfzV1sPVvEn0WC1asJUfpQTxmbeRmmbjcQ00X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2022-02-24T18:11:00Z</dcterms:created>
  <dc:creator>HOME</dc:creator>
</cp:coreProperties>
</file>