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6" w:line="240" w:lineRule="auto"/>
        <w:ind w:left="477" w:right="87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ACHPR/Res. 354(LIX) 2016: Resolution on the Appointment of an Expert Member of the Working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Group on Indigenous Populations/Communities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878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The African Commission on Human and Peoples' Rights (the Commission), meeting at its 59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Ordinary Session held from 21 October to 4 November 2016 in Banjul, Islamic Republic of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77" w:right="87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mandate to promote and protect human and peoples' rights in Africa under the African Charter on Human and Peoples'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 ACHPR/Res.65 (XXXIV) 03 on the adoption of the Report of the Commission's Working Group on Indigenous Populations/Communities, and the establishment of the Working Group on Indigenous Populations/Communities (the Working Group);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Further 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Resolutions ACHPR/Res.123 (XXXXII) 2007; ACHPR/Res.155 (XLV1) 2009; ACHPR/Res.204 (L) 2011; ACHPR/Res.249 (LIV) 2013;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ACHPR/Res.323 (LVII) 2015 respectively on the renewal of the mandate of the Working Group for a period of two years;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" w:line="240" w:lineRule="auto"/>
        <w:ind w:left="477" w:right="8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Recognising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importance of the work of the Working Group in promoting and protecting the rights of indigenous populations/communities in Africa, and the need to enable the Working Group to continue to implement its mandate;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Noting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that one of its members tendered her resignation in April 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Conscious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of the need to fill the position and in order to ensure an equitable representation which reflects geographical diversity and the various legal systems;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The Commission: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4"/>
          <w:szCs w:val="24"/>
          <w:rtl w:val="0"/>
        </w:rPr>
        <w:t xml:space="preserve">Decides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to appoint Dr Kanyinke Sena (Kenya) as an Expert Member of the Working Group for the period from November 2016 to November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89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      Done in Banjul, Islamic Republic of The Gambia, on 4 November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E46D1E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 w:val="1"/>
    <w:rsid w:val="00E46D1E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E46D1E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Heading5Char" w:customStyle="1">
    <w:name w:val="Heading 5 Char"/>
    <w:basedOn w:val="DefaultParagraphFont"/>
    <w:link w:val="Heading5"/>
    <w:uiPriority w:val="9"/>
    <w:rsid w:val="00E46D1E"/>
    <w:rPr>
      <w:rFonts w:ascii="Times New Roman" w:cs="Times New Roman" w:eastAsia="Times New Roman" w:hAnsi="Times New Roman"/>
      <w:b w:val="1"/>
      <w:bCs w:val="1"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E46D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2lT4I++MlAv0DWMgyEf73MZ3qQ==">AMUW2mUoj6u2siFT0uvRpjMs7IFhGS6O/2R8FFquhD8pMvBqMMmTRYwt4in2qMV6K1kW+XB5HjyMgaO7Vx5CUyDOH5Fk/bWMQD1rhozfNTlzfvgHu6Ssi4aSjbmJHNmLzFt+HaiDw+/p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2022-02-25T05:26:00Z</dcterms:created>
  <dc:creator>HOME</dc:creator>
</cp:coreProperties>
</file>