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7F" w:rsidRPr="00187F7F" w:rsidRDefault="00187F7F" w:rsidP="00187F7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Critères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d’octroi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maintien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statut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d’observateur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Organisations non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gouvernementales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charge des droits de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87F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CADHP/Rés.361(LIX)2016</w:t>
      </w:r>
    </w:p>
    <w:bookmarkEnd w:id="0"/>
    <w:p w:rsidR="00187F7F" w:rsidRPr="00187F7F" w:rsidRDefault="00187F7F" w:rsidP="00187F7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87F7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87F7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87F7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04, 2016</w:t>
      </w:r>
    </w:p>
    <w:p w:rsidR="0059284B" w:rsidRPr="00187F7F" w:rsidRDefault="0059284B">
      <w:pPr>
        <w:rPr>
          <w:rFonts w:cstheme="minorHAnsi"/>
        </w:rPr>
      </w:pP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59ème Session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tenue du 21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octobre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 4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novembre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2016 à Banjul,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République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islamique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proofErr w:type="gramStart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;</w:t>
      </w:r>
      <w:proofErr w:type="gramEnd"/>
      <w:r w:rsidRPr="00187F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fixant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compétences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déterminant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missions de la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(Maurice),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Première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tenue du 12 au 16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1999 à Grand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Maurice, qui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reconnait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contribution des ONG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…. »;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Kigali,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1ère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(UA) tenue le 8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2003 à Kigali, au Rwanda, qui «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reconnait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important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joué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par les organisations de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(OSC)…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»  et «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les institutions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à encourager la participation des OSC aux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prise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participative et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durable » ;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68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47ème Session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tenue du 12 au 26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2010 à Banjul,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qui dispose que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octroyé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organisations non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(ONG), et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énonce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droits et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obligations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1987, 504 ONG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obtenu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important des ONGs par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apportée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Ex.CL/887(XXVII) et EX.CL/Dec. 902(XXVIII) Rev. 1, qui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«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l’identité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bonnes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traditions et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valeurs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et de […] revoir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critères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d’octroi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ONG ».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EX.CL /Dec. 902(XXVIII) Rev.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1  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proofErr w:type="gram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« de revoir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critères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…,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CADHP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d’individus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… »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Se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offerte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critères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d’octroi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son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partenariat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avec les ONG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œuvrant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87F7F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Adopte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nouveaux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critères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d’octroi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texte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intégral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joint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annexe à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87F7F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Décides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nouveaux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critères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entrent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 et</w:t>
      </w:r>
      <w:r w:rsidRPr="00187F7F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un rapport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187F7F">
        <w:rPr>
          <w:rFonts w:asciiTheme="minorHAnsi" w:hAnsiTheme="minorHAnsi" w:cstheme="minorHAnsi"/>
          <w:color w:val="53575A"/>
          <w:sz w:val="23"/>
          <w:szCs w:val="23"/>
        </w:rPr>
        <w:br/>
        <w:t>ANNEXE – CRITERES D’OCTROI ET DE MAINTIEN DU STATUT D’OBSERVATEUR AUPRES DE LA COMMISSION AFRICAINE DES DROITS DE L'HOMME ET DES PEUPLES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>CHAPITRE I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1.  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organisation non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gouvernementale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(ONG) qui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(la Commission)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invitée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requête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documentée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œuvrer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).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2.  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ONG qui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a)   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(UA),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préambule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Maputo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187F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>b)    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organisation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œuvrant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c)   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déclarer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financières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Les ONG qui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tenues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session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les documents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r w:rsidRPr="00187F7F">
        <w:rPr>
          <w:rFonts w:asciiTheme="minorHAnsi" w:hAnsiTheme="minorHAnsi" w:cstheme="minorHAnsi"/>
          <w:color w:val="53575A"/>
          <w:sz w:val="23"/>
          <w:szCs w:val="23"/>
        </w:rPr>
        <w:br/>
        <w:t xml:space="preserve">a)   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lettre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candidature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adressée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; 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>b)    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liste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c)    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signés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légalisés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d)    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Certificat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délivré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l’autorité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gouvernementale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compétente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pays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e)     Les sources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financement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f)    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bilan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financier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fait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l’objet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d’un audit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indépendant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g)    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Rapport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d’activités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annuel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h)     Un plan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global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plan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approuvé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compétents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s’étale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 minimum, et qui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contient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pendant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spécifiée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liste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calendrier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cibles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4.  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soumise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sans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traitée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5.   Le Bureau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désigne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un rapporteur pour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demandes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.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notifiée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l’ONG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requérante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CHAPITRE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II :</w:t>
      </w:r>
      <w:proofErr w:type="gram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PARTICIPATION DES ONGs JOUISSANT DU STATUT D’OBSERVATEUR AUX TRAVAUX DE LA COMMISSION AFRICAINE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a)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ONGs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jouissant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invitées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assister aux séances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d’ouverture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clôture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sessions de la Commission.</w:t>
      </w:r>
      <w:r w:rsidRPr="00187F7F">
        <w:rPr>
          <w:rFonts w:asciiTheme="minorHAnsi" w:hAnsiTheme="minorHAnsi" w:cstheme="minorHAnsi"/>
          <w:color w:val="53575A"/>
          <w:sz w:val="23"/>
          <w:szCs w:val="23"/>
        </w:rPr>
        <w:br/>
        <w:t xml:space="preserve">b)    Un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que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déroulement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Sessions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-ci.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2.  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documents de la Commission à condition que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documents :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a)   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n’aient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aucun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confidentiel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>b)    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traitent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questions relatives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la distribution de documents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gratuite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 la distribution de documents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spécialisés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s’effectue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moyennant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paiement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sauf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réciprocité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3.  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invités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expressément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assister aux séances à huis clos qui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traitent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question qui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intéresse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4.  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autorisés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par le (la)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(e) de la Commission à faire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question qui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intéresse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sous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réserve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texte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ait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adressé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suffisamment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l’avance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 (à la)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(e) de la Commission par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l’intermédiaire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5.   le (la)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(e) de la Commission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donner la parole aux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questions que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auront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posées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participants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6.  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demander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l’inscription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questions d’un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intérêt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jour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du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 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CHAPITRE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III :</w:t>
      </w:r>
      <w:proofErr w:type="gram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RELATIONS ENTRE LA COMMISSION ET LES OBSERVATEURS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1.  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s’engagent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établir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relations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étroites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et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consultations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d’intérêt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commun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2.  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d’activités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fois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3.   Des dispositions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administratives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seront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prises,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fois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que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déterminer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CHAPITRE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IV :</w:t>
      </w:r>
      <w:proofErr w:type="gram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DISPOSITIONS FINALES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1.     Les dispositions de la Convention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Privilèges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Immunités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Siège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ne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l’exception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l’octroi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visas.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2.     La Commission se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réserve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suivantes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qui ne se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acquittées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obligations :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-          non-participation aux </w:t>
      </w:r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sessions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>-          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des documents et des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>-          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proposer des points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inscrire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du jour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de faire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contribution aux </w:t>
      </w:r>
      <w:proofErr w:type="spellStart"/>
      <w:proofErr w:type="gram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3.     le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suspendu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retiré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O NG qui ne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remplit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plus les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présents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critères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, après </w:t>
      </w:r>
      <w:proofErr w:type="spellStart"/>
      <w:r w:rsidRPr="00187F7F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187F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7F7F" w:rsidRPr="00187F7F" w:rsidRDefault="00187F7F" w:rsidP="00187F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4 </w:t>
      </w:r>
      <w:proofErr w:type="spellStart"/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87F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187F7F" w:rsidRDefault="00187F7F"/>
    <w:sectPr w:rsidR="0018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7F"/>
    <w:rsid w:val="00187F7F"/>
    <w:rsid w:val="005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72D1D"/>
  <w15:chartTrackingRefBased/>
  <w15:docId w15:val="{DEB02564-D40D-40C7-928E-94FB7D51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F7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87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5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772720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2023-08-15T13:10:00Z</dcterms:created>
  <dcterms:modified xsi:type="dcterms:W3CDTF">2023-08-15T13:23:00Z</dcterms:modified>
</cp:coreProperties>
</file>