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86" w:lineRule="auto"/>
        <w:ind w:right="134" w:firstLine="137"/>
        <w:jc w:val="both"/>
        <w:rPr/>
      </w:pPr>
      <w:bookmarkStart w:colFirst="0" w:colLast="0" w:name="_heading=h.gjdgxs" w:id="0"/>
      <w:bookmarkEnd w:id="0"/>
      <w:r w:rsidDel="00000000" w:rsidR="00000000" w:rsidRPr="00000000">
        <w:rPr>
          <w:rtl w:val="0"/>
        </w:rPr>
        <w:t xml:space="preserve">ACHPR/Res.379 (LXI) 2017: Resolution on the Renewal of the Mandate of the Special Rapporteur on Refugees, Asylum Seekers, Internally Displaced Persons and Migrants in Africa</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Book Antiqua" w:cs="Book Antiqua" w:eastAsia="Book Antiqua" w:hAnsi="Book Antiqua"/>
          <w:b w:val="1"/>
          <w:i w:val="0"/>
          <w:smallCaps w:val="0"/>
          <w:strike w:val="0"/>
          <w:color w:val="000000"/>
          <w:sz w:val="39"/>
          <w:szCs w:val="39"/>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2"/>
        <w:ind w:right="133" w:firstLine="137"/>
        <w:rPr/>
      </w:pPr>
      <w:r w:rsidDel="00000000" w:rsidR="00000000" w:rsidRPr="00000000">
        <w:rPr>
          <w:rtl w:val="0"/>
        </w:rPr>
        <w:t xml:space="preserve">The African Commission on Human and Peoples' Rights (the Commission), meeting at its 61</w:t>
      </w:r>
      <w:r w:rsidDel="00000000" w:rsidR="00000000" w:rsidRPr="00000000">
        <w:rPr>
          <w:sz w:val="26.666666666666668"/>
          <w:szCs w:val="26.666666666666668"/>
          <w:vertAlign w:val="superscript"/>
          <w:rtl w:val="0"/>
        </w:rPr>
        <w:t xml:space="preserve">st </w:t>
      </w:r>
      <w:r w:rsidDel="00000000" w:rsidR="00000000" w:rsidRPr="00000000">
        <w:rPr>
          <w:rtl w:val="0"/>
        </w:rPr>
        <w:t xml:space="preserve">Ordinary Session held from 1 to 15 November 2017 in Banjul, The Gambia:</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Book Antiqua" w:cs="Book Antiqua" w:eastAsia="Book Antiqua" w:hAnsi="Book Antiqua"/>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4"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Recalling its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mandate to promote and protect human and peoples’ rights in Africa under the African Charter on Human and Peoples’ Rights (African Charter);</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-13969</wp:posOffset>
                </wp:positionH>
                <wp:positionV relativeFrom="paragraph">
                  <wp:posOffset>253365</wp:posOffset>
                </wp:positionV>
                <wp:extent cx="5753100" cy="5283200"/>
                <wp:wrapNone/>
                <wp:docPr id="7" name=""/>
                <a:graphic>
                  <a:graphicData uri="http://schemas.microsoft.com/office/word/2010/wordprocessingShape">
                    <wps:wsp>
                      <wps:cNvSpPr>
                        <a:spLocks noChangeArrowheads="1"/>
                      </wps:cNvSpPr>
                      <wps:spPr bwMode="auto">
                        <a:xfrm>
                          <a:off x="0" y="0"/>
                          <a:ext cx="5753100" cy="5283200"/>
                        </a:xfrm>
                        <a:prstGeom prst="rect">
                          <a:avLst/>
                        </a:prstGeom>
                        <a:noFill/>
                        <a:ln>
                          <a:noFill/>
                        </a:ln>
                        <a:extLst>
                          <a:ext uri="{909E8E84-426E-40DD-AFC4-6F175D3DCCD1}"/>
                          <a:ext uri="{91240B29-F687-4F45-9708-019B960494DF}"/>
                        </a:extLst>
                      </wps:spPr>
                      <wps:txbx>
                        <w:txbxContent>
                          <w:p w:rsidR="000B1A34" w:rsidDel="00000000" w:rsidP="000B1A34" w:rsidRDefault="000B1A34" w:rsidRPr="00000000">
                            <w:pPr>
                              <w:widowControl w:val="1"/>
                              <w:autoSpaceDE w:val="1"/>
                              <w:autoSpaceDN w:val="1"/>
                              <w:adjustRightInd w:val="1"/>
                              <w:spacing w:line="8320" w:lineRule="atLeast"/>
                              <w:rPr>
                                <w:rFonts w:ascii="Times New Roman" w:cs="Times New Roman" w:hAnsi="Times New Roman"/>
                                <w:sz w:val="24"/>
                                <w:szCs w:val="24"/>
                              </w:rPr>
                            </w:pPr>
                            <w:r w:rsidDel="00000000" w:rsidR="00000000" w:rsidRPr="00000000">
                              <w:rPr>
                                <w:rFonts w:ascii="Times New Roman" w:cs="Times New Roman" w:hAnsi="Times New Roman"/>
                                <w:noProof w:val="1"/>
                                <w:lang w:eastAsia="en-ZA" w:val="en-ZA"/>
                              </w:rPr>
                              <w:drawing>
                                <wp:inline distB="0" distT="0" distL="0" distR="0">
                                  <wp:extent cx="5762625" cy="5295900"/>
                                  <wp:effectExtent b="0" l="0" r="9525" t="0"/>
                                  <wp:docPr id="5" name="Picture 5"/>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extLst>
                                              <a:ext uri="{28A0092B-C50C-407E-A947-70E740481C1C}"/>
                                            </a:extLst>
                                          </a:blip>
                                          <a:srcRect/>
                                          <a:stretch>
                                            <a:fillRect/>
                                          </a:stretch>
                                        </pic:blipFill>
                                        <pic:spPr bwMode="auto">
                                          <a:xfrm>
                                            <a:off x="0" y="0"/>
                                            <a:ext cx="5762625" cy="5295900"/>
                                          </a:xfrm>
                                          <a:prstGeom prst="rect">
                                            <a:avLst/>
                                          </a:prstGeom>
                                          <a:noFill/>
                                          <a:ln>
                                            <a:noFill/>
                                          </a:ln>
                                        </pic:spPr>
                                      </pic:pic>
                                    </a:graphicData>
                                  </a:graphic>
                                </wp:inline>
                              </w:drawing>
                            </w:r>
                          </w:p>
                          <w:p w:rsidR="000B1A34" w:rsidDel="00000000" w:rsidP="000B1A34" w:rsidRDefault="000B1A34" w:rsidRPr="00000000">
                            <w:pPr>
                              <w:rPr>
                                <w:rFonts w:ascii="Times New Roman" w:cs="Times New Roman" w:hAnsi="Times New Roman"/>
                                <w:sz w:val="24"/>
                                <w:szCs w:val="24"/>
                              </w:rPr>
                            </w:pPr>
                          </w:p>
                        </w:txbxContent>
                      </wps:txbx>
                      <wps:bodyPr anchorCtr="0" anchor="t" bIns="0" lIns="0" rIns="0" rot="0" upright="1" vert="horz"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-13969</wp:posOffset>
                </wp:positionH>
                <wp:positionV relativeFrom="paragraph">
                  <wp:posOffset>253365</wp:posOffset>
                </wp:positionV>
                <wp:extent cx="5753100" cy="5283200"/>
                <wp:effectExtent b="0" l="0" r="0" t="0"/>
                <wp:wrapNone/>
                <wp:docPr id="7"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5753100" cy="52832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-25399</wp:posOffset>
                </wp:positionH>
                <wp:positionV relativeFrom="paragraph">
                  <wp:posOffset>368300</wp:posOffset>
                </wp:positionV>
                <wp:extent cx="5800090" cy="5113655"/>
                <wp:effectExtent b="0" l="0" r="0" t="0"/>
                <wp:wrapNone/>
                <wp:docPr id="8" name=""/>
                <a:graphic>
                  <a:graphicData uri="http://schemas.microsoft.com/office/word/2010/wordprocessingGroup">
                    <wpg:wgp>
                      <wpg:cNvGrpSpPr/>
                      <wpg:grpSpPr>
                        <a:xfrm>
                          <a:off x="2445955" y="1223173"/>
                          <a:ext cx="5800090" cy="5113655"/>
                          <a:chOff x="2445955" y="1223173"/>
                          <a:chExt cx="5800090" cy="5113655"/>
                        </a:xfrm>
                      </wpg:grpSpPr>
                      <wpg:grpSp>
                        <wpg:cNvGrpSpPr/>
                        <wpg:grpSpPr>
                          <a:xfrm>
                            <a:off x="2445955" y="1223173"/>
                            <a:ext cx="5800090" cy="5113655"/>
                            <a:chOff x="1387" y="596"/>
                            <a:chExt cx="9134" cy="8053"/>
                          </a:xfrm>
                        </wpg:grpSpPr>
                        <wps:wsp>
                          <wps:cNvSpPr/>
                          <wps:cNvPr id="3" name="Shape 3"/>
                          <wps:spPr>
                            <a:xfrm>
                              <a:off x="1387" y="596"/>
                              <a:ext cx="9125" cy="8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387" y="596"/>
                              <a:ext cx="9134" cy="8053"/>
                            </a:xfrm>
                            <a:custGeom>
                              <a:rect b="b" l="l" r="r" t="t"/>
                              <a:pathLst>
                                <a:path extrusionOk="0" h="8053" w="9134">
                                  <a:moveTo>
                                    <a:pt x="9133" y="4175"/>
                                  </a:moveTo>
                                  <a:lnTo>
                                    <a:pt x="0" y="4175"/>
                                  </a:lnTo>
                                  <a:lnTo>
                                    <a:pt x="0" y="4474"/>
                                  </a:lnTo>
                                  <a:lnTo>
                                    <a:pt x="0" y="4772"/>
                                  </a:lnTo>
                                  <a:lnTo>
                                    <a:pt x="0" y="5070"/>
                                  </a:lnTo>
                                  <a:lnTo>
                                    <a:pt x="0" y="5369"/>
                                  </a:lnTo>
                                  <a:lnTo>
                                    <a:pt x="0" y="5666"/>
                                  </a:lnTo>
                                  <a:lnTo>
                                    <a:pt x="0" y="5965"/>
                                  </a:lnTo>
                                  <a:lnTo>
                                    <a:pt x="0" y="6263"/>
                                  </a:lnTo>
                                  <a:lnTo>
                                    <a:pt x="0" y="6562"/>
                                  </a:lnTo>
                                  <a:lnTo>
                                    <a:pt x="0" y="6859"/>
                                  </a:lnTo>
                                  <a:lnTo>
                                    <a:pt x="0" y="7158"/>
                                  </a:lnTo>
                                  <a:lnTo>
                                    <a:pt x="0" y="7456"/>
                                  </a:lnTo>
                                  <a:lnTo>
                                    <a:pt x="0" y="7754"/>
                                  </a:lnTo>
                                  <a:lnTo>
                                    <a:pt x="0" y="8052"/>
                                  </a:lnTo>
                                  <a:lnTo>
                                    <a:pt x="9133" y="8052"/>
                                  </a:lnTo>
                                  <a:lnTo>
                                    <a:pt x="9133" y="7754"/>
                                  </a:lnTo>
                                  <a:lnTo>
                                    <a:pt x="9133" y="7456"/>
                                  </a:lnTo>
                                  <a:lnTo>
                                    <a:pt x="9133" y="7158"/>
                                  </a:lnTo>
                                  <a:lnTo>
                                    <a:pt x="9133" y="6859"/>
                                  </a:lnTo>
                                  <a:lnTo>
                                    <a:pt x="9133" y="6562"/>
                                  </a:lnTo>
                                  <a:lnTo>
                                    <a:pt x="9133" y="6263"/>
                                  </a:lnTo>
                                  <a:lnTo>
                                    <a:pt x="9133" y="5965"/>
                                  </a:lnTo>
                                  <a:lnTo>
                                    <a:pt x="9133" y="5666"/>
                                  </a:lnTo>
                                  <a:lnTo>
                                    <a:pt x="9133" y="5369"/>
                                  </a:lnTo>
                                  <a:lnTo>
                                    <a:pt x="9133" y="5070"/>
                                  </a:lnTo>
                                  <a:lnTo>
                                    <a:pt x="9133" y="4772"/>
                                  </a:lnTo>
                                  <a:lnTo>
                                    <a:pt x="9133" y="4474"/>
                                  </a:lnTo>
                                  <a:lnTo>
                                    <a:pt x="9133" y="4175"/>
                                  </a:lnTo>
                                  <a:close/>
                                </a:path>
                              </a:pathLst>
                            </a:custGeom>
                            <a:solidFill>
                              <a:srgbClr val="FFFFFF"/>
                            </a:solidFill>
                            <a:ln>
                              <a:noFill/>
                            </a:ln>
                          </wps:spPr>
                          <wps:bodyPr anchorCtr="0" anchor="ctr" bIns="91425" lIns="91425" spcFirstLastPara="1" rIns="91425" wrap="square" tIns="91425">
                            <a:noAutofit/>
                          </wps:bodyPr>
                        </wps:wsp>
                        <wps:wsp>
                          <wps:cNvSpPr/>
                          <wps:cNvPr id="5" name="Shape 5"/>
                          <wps:spPr>
                            <a:xfrm>
                              <a:off x="1387" y="596"/>
                              <a:ext cx="9134" cy="8053"/>
                            </a:xfrm>
                            <a:custGeom>
                              <a:rect b="b" l="l" r="r" t="t"/>
                              <a:pathLst>
                                <a:path extrusionOk="0" h="8053" w="9134">
                                  <a:moveTo>
                                    <a:pt x="9133" y="0"/>
                                  </a:moveTo>
                                  <a:lnTo>
                                    <a:pt x="0" y="0"/>
                                  </a:lnTo>
                                  <a:lnTo>
                                    <a:pt x="0" y="298"/>
                                  </a:lnTo>
                                  <a:lnTo>
                                    <a:pt x="0" y="596"/>
                                  </a:lnTo>
                                  <a:lnTo>
                                    <a:pt x="0" y="895"/>
                                  </a:lnTo>
                                  <a:lnTo>
                                    <a:pt x="0" y="1192"/>
                                  </a:lnTo>
                                  <a:lnTo>
                                    <a:pt x="0" y="1491"/>
                                  </a:lnTo>
                                  <a:lnTo>
                                    <a:pt x="0" y="1789"/>
                                  </a:lnTo>
                                  <a:lnTo>
                                    <a:pt x="0" y="2088"/>
                                  </a:lnTo>
                                  <a:lnTo>
                                    <a:pt x="0" y="2385"/>
                                  </a:lnTo>
                                  <a:lnTo>
                                    <a:pt x="0" y="2684"/>
                                  </a:lnTo>
                                  <a:lnTo>
                                    <a:pt x="0" y="2982"/>
                                  </a:lnTo>
                                  <a:lnTo>
                                    <a:pt x="0" y="3280"/>
                                  </a:lnTo>
                                  <a:lnTo>
                                    <a:pt x="0" y="3578"/>
                                  </a:lnTo>
                                  <a:lnTo>
                                    <a:pt x="0" y="3877"/>
                                  </a:lnTo>
                                  <a:lnTo>
                                    <a:pt x="0" y="4175"/>
                                  </a:lnTo>
                                  <a:lnTo>
                                    <a:pt x="9133" y="4175"/>
                                  </a:lnTo>
                                  <a:lnTo>
                                    <a:pt x="9133" y="3877"/>
                                  </a:lnTo>
                                  <a:lnTo>
                                    <a:pt x="9133" y="3578"/>
                                  </a:lnTo>
                                  <a:lnTo>
                                    <a:pt x="9133" y="3280"/>
                                  </a:lnTo>
                                  <a:lnTo>
                                    <a:pt x="9133" y="2982"/>
                                  </a:lnTo>
                                  <a:lnTo>
                                    <a:pt x="9133" y="2684"/>
                                  </a:lnTo>
                                  <a:lnTo>
                                    <a:pt x="9133" y="2385"/>
                                  </a:lnTo>
                                  <a:lnTo>
                                    <a:pt x="9133" y="2088"/>
                                  </a:lnTo>
                                  <a:lnTo>
                                    <a:pt x="9133" y="1789"/>
                                  </a:lnTo>
                                  <a:lnTo>
                                    <a:pt x="9133" y="1491"/>
                                  </a:lnTo>
                                  <a:lnTo>
                                    <a:pt x="9133" y="1192"/>
                                  </a:lnTo>
                                  <a:lnTo>
                                    <a:pt x="9133" y="895"/>
                                  </a:lnTo>
                                  <a:lnTo>
                                    <a:pt x="9133" y="596"/>
                                  </a:lnTo>
                                  <a:lnTo>
                                    <a:pt x="9133" y="298"/>
                                  </a:lnTo>
                                  <a:lnTo>
                                    <a:pt x="9133" y="0"/>
                                  </a:lnTo>
                                  <a:close/>
                                </a:path>
                              </a:pathLst>
                            </a:custGeom>
                            <a:solidFill>
                              <a:srgbClr val="FFFFFF"/>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-25399</wp:posOffset>
                </wp:positionH>
                <wp:positionV relativeFrom="paragraph">
                  <wp:posOffset>368300</wp:posOffset>
                </wp:positionV>
                <wp:extent cx="5800090" cy="5113655"/>
                <wp:effectExtent b="0" l="0" r="0" t="0"/>
                <wp:wrapNone/>
                <wp:docPr id="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800090" cy="5113655"/>
                        </a:xfrm>
                        <a:prstGeom prst="rect"/>
                        <a:ln/>
                      </pic:spPr>
                    </pic:pic>
                  </a:graphicData>
                </a:graphic>
              </wp:anchor>
            </w:drawing>
          </mc:Fallback>
        </mc:AlternateConten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37" w:right="135"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Bearing in mind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adoption and coming into force of the 1951 Convention on the Status of Refugees and its 1967 Protocol, and the 1969 OAU Convention Governing the Specific Aspects of Refugee Problems in Africa;</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37" w:right="135"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Also bearing in mind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adoption in 2009 and the coming into force in 2012 of the African Union Convention for the Protection and Assistance of Internally Displaced Persons in Africa (Kampala Convention);</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37" w:right="133"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Recalling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decision adopted at its 35</w:t>
      </w:r>
      <w:r w:rsidDel="00000000" w:rsidR="00000000" w:rsidRPr="00000000">
        <w:rPr>
          <w:rFonts w:ascii="Book Antiqua" w:cs="Book Antiqua" w:eastAsia="Book Antiqua" w:hAnsi="Book Antiqua"/>
          <w:b w:val="0"/>
          <w:i w:val="0"/>
          <w:smallCaps w:val="0"/>
          <w:strike w:val="0"/>
          <w:color w:val="000000"/>
          <w:sz w:val="26.666666666666668"/>
          <w:szCs w:val="26.666666666666668"/>
          <w:u w:val="none"/>
          <w:shd w:fill="auto" w:val="clear"/>
          <w:vertAlign w:val="superscript"/>
          <w:rtl w:val="0"/>
        </w:rPr>
        <w:t xml:space="preserve">th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Ordinary Session held from 21 May to 4 June 2004 in Banjul, The Gambia, establishing the mechanism of the Special Rapporteur on Refugees, Asylum Seekers and Internally Displaced Persons in Africa;</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37" w:right="133"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Mindful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of Resolution ACHPR/Res. 72 (XXXVI) 04 adopted at its 36</w:t>
      </w:r>
      <w:r w:rsidDel="00000000" w:rsidR="00000000" w:rsidRPr="00000000">
        <w:rPr>
          <w:rFonts w:ascii="Book Antiqua" w:cs="Book Antiqua" w:eastAsia="Book Antiqua" w:hAnsi="Book Antiqua"/>
          <w:b w:val="0"/>
          <w:i w:val="0"/>
          <w:smallCaps w:val="0"/>
          <w:strike w:val="0"/>
          <w:color w:val="000000"/>
          <w:sz w:val="26.666666666666668"/>
          <w:szCs w:val="26.666666666666668"/>
          <w:u w:val="none"/>
          <w:shd w:fill="auto" w:val="clear"/>
          <w:vertAlign w:val="superscript"/>
          <w:rtl w:val="0"/>
        </w:rPr>
        <w:t xml:space="preserve">th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Ordinary Session held from 23 November to 7 December 2004 in Dakar, Senegal, and which defined the mandate of the Special Rapporteur on Refugees, Asylum Seekers and Internally Displaced Persons in Africa;</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37"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Recalling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Resolution ACHPR/Res. 95 (XXXIX) 06 expanding the mandate of the Special Rapporteur to also include migrant issues;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37" w:right="134"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Bearing in mind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its Resolutions ACHPR/Res.160 (XLVI) 09, ACHPR/Res.187 (XLIX) 11, and ACHPR/Res.203 (L) 11 on the appointment of the various Special Rapporteurs on Refugees, Asylum Seekers, Internally Displaced Persons and Migrants in Africa;</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37" w:right="133"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Recalling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its Resolutions ACHPR/Res.246 (LIV) 2013 and ACHPR/Res.318 (LVII) 15 on the Renewal of the Mandate of the Special Rapporteur on Refugees, Asylum Seekers, Internally Displaced Persons and Migrants in Africa;</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4"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Bearing in mind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its Resolutions ACHPR/Res.234 (LIII) 13 and ACHPR/Res 277 (LV) 14 respectively on the need to undertake a study on nationality and to develop a Draft Protocol on Nationality and the Eradication of Statelessness in Africa;</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4"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Considering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need to continue to work with States Parties to the African Charter on Human and Peoples’ Rights towards the adoption of the draft Additional Protocol to the African Charter on the Right to Nationality and the Eradication of Statelessness in Africa;</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Taking into account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constantly worsening situation of refugees, asylum seekers, internally displaced persons and migrants;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Considering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need to continue to advocate for the ratification of the Kampala Convention and its effective implementation on the continent by States Parties;</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wp:posOffset>
                </wp:positionH>
                <wp:positionV relativeFrom="paragraph">
                  <wp:posOffset>660400</wp:posOffset>
                </wp:positionV>
                <wp:extent cx="5704840" cy="2936240"/>
                <wp:effectExtent b="0" l="0" r="0" t="0"/>
                <wp:wrapTopAndBottom distB="0" distT="0"/>
                <wp:docPr id="9" name=""/>
                <a:graphic>
                  <a:graphicData uri="http://schemas.microsoft.com/office/word/2010/wordprocessingShape">
                    <wps:wsp>
                      <wps:cNvSpPr/>
                      <wps:cNvPr id="6" name="Shape 6"/>
                      <wps:spPr>
                        <a:xfrm>
                          <a:off x="2498343" y="2316643"/>
                          <a:ext cx="5695315" cy="2926715"/>
                        </a:xfrm>
                        <a:prstGeom prst="rect">
                          <a:avLst/>
                        </a:prstGeom>
                        <a:solidFill>
                          <a:srgbClr val="FFFFFF"/>
                        </a:solidFill>
                        <a:ln>
                          <a:noFill/>
                        </a:ln>
                      </wps:spPr>
                      <wps:txbx>
                        <w:txbxContent>
                          <w:p w:rsidR="00000000" w:rsidDel="00000000" w:rsidP="00000000" w:rsidRDefault="00000000" w:rsidRPr="00000000">
                            <w:pPr>
                              <w:spacing w:after="0" w:before="0" w:line="240"/>
                              <w:ind w:left="30" w:right="30" w:firstLine="0"/>
                              <w:jc w:val="both"/>
                              <w:textDirection w:val="btLr"/>
                            </w:pPr>
                            <w:r w:rsidDel="00000000" w:rsidR="00000000" w:rsidRPr="00000000">
                              <w:rPr>
                                <w:rFonts w:ascii="Book Antiqua" w:cs="Book Antiqua" w:eastAsia="Book Antiqua" w:hAnsi="Book Antiqua"/>
                                <w:b w:val="1"/>
                                <w:i w:val="0"/>
                                <w:smallCaps w:val="0"/>
                                <w:strike w:val="0"/>
                                <w:color w:val="000000"/>
                                <w:sz w:val="24"/>
                                <w:vertAlign w:val="baseline"/>
                              </w:rPr>
                              <w:t xml:space="preserve">Reiterating </w:t>
                            </w:r>
                            <w:r w:rsidDel="00000000" w:rsidR="00000000" w:rsidRPr="00000000">
                              <w:rPr>
                                <w:rFonts w:ascii="Book Antiqua" w:cs="Book Antiqua" w:eastAsia="Book Antiqua" w:hAnsi="Book Antiqua"/>
                                <w:b w:val="0"/>
                                <w:i w:val="0"/>
                                <w:smallCaps w:val="0"/>
                                <w:strike w:val="0"/>
                                <w:color w:val="000000"/>
                                <w:sz w:val="24"/>
                                <w:vertAlign w:val="baseline"/>
                              </w:rPr>
                              <w:t xml:space="preserve">the importance of the mechanism of the Special Rapporteur on Refugees, Asylum Seekers, Internally Displaced Persons and Migrants in Africa;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4"/>
                                <w:vertAlign w:val="baseline"/>
                              </w:rPr>
                            </w:r>
                          </w:p>
                          <w:p w:rsidR="00000000" w:rsidDel="00000000" w:rsidP="00000000" w:rsidRDefault="00000000" w:rsidRPr="00000000">
                            <w:pPr>
                              <w:spacing w:after="0" w:before="0" w:line="240"/>
                              <w:ind w:left="30" w:right="27.000000476837158" w:firstLine="0"/>
                              <w:jc w:val="both"/>
                              <w:textDirection w:val="btLr"/>
                            </w:pPr>
                            <w:r w:rsidDel="00000000" w:rsidR="00000000" w:rsidRPr="00000000">
                              <w:rPr>
                                <w:rFonts w:ascii="Book Antiqua" w:cs="Book Antiqua" w:eastAsia="Book Antiqua" w:hAnsi="Book Antiqua"/>
                                <w:b w:val="0"/>
                                <w:i w:val="0"/>
                                <w:smallCaps w:val="0"/>
                                <w:strike w:val="0"/>
                                <w:color w:val="000000"/>
                                <w:sz w:val="24"/>
                                <w:vertAlign w:val="baseline"/>
                              </w:rPr>
                            </w:r>
                            <w:r w:rsidDel="00000000" w:rsidR="00000000" w:rsidRPr="00000000">
                              <w:rPr>
                                <w:rFonts w:ascii="Book Antiqua" w:cs="Book Antiqua" w:eastAsia="Book Antiqua" w:hAnsi="Book Antiqua"/>
                                <w:b w:val="1"/>
                                <w:i w:val="0"/>
                                <w:smallCaps w:val="0"/>
                                <w:strike w:val="0"/>
                                <w:color w:val="000000"/>
                                <w:sz w:val="24"/>
                                <w:vertAlign w:val="baseline"/>
                              </w:rPr>
                              <w:t xml:space="preserve">Noting </w:t>
                            </w:r>
                            <w:r w:rsidDel="00000000" w:rsidR="00000000" w:rsidRPr="00000000">
                              <w:rPr>
                                <w:rFonts w:ascii="Book Antiqua" w:cs="Book Antiqua" w:eastAsia="Book Antiqua" w:hAnsi="Book Antiqua"/>
                                <w:b w:val="0"/>
                                <w:i w:val="0"/>
                                <w:smallCaps w:val="0"/>
                                <w:strike w:val="0"/>
                                <w:color w:val="000000"/>
                                <w:sz w:val="24"/>
                                <w:vertAlign w:val="baseline"/>
                              </w:rPr>
                              <w:t xml:space="preserve">with satisfaction the work accomplished by Commissioner Maya Sahli Fadel as Special Rapporteur on Refugees, Asylum Seekers, Internally Displaced Persons and Migrants in Africa;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4"/>
                                <w:vertAlign w:val="baseline"/>
                              </w:rPr>
                            </w:r>
                          </w:p>
                          <w:p w:rsidR="00000000" w:rsidDel="00000000" w:rsidP="00000000" w:rsidRDefault="00000000" w:rsidRPr="00000000">
                            <w:pPr>
                              <w:spacing w:after="0" w:before="0" w:line="240"/>
                              <w:ind w:left="30" w:right="27.999999523162842" w:firstLine="0"/>
                              <w:jc w:val="both"/>
                              <w:textDirection w:val="btLr"/>
                            </w:pPr>
                            <w:r w:rsidDel="00000000" w:rsidR="00000000" w:rsidRPr="00000000">
                              <w:rPr>
                                <w:rFonts w:ascii="Book Antiqua" w:cs="Book Antiqua" w:eastAsia="Book Antiqua" w:hAnsi="Book Antiqua"/>
                                <w:b w:val="0"/>
                                <w:i w:val="0"/>
                                <w:smallCaps w:val="0"/>
                                <w:strike w:val="0"/>
                                <w:color w:val="000000"/>
                                <w:sz w:val="24"/>
                                <w:vertAlign w:val="baseline"/>
                              </w:rPr>
                            </w:r>
                            <w:r w:rsidDel="00000000" w:rsidR="00000000" w:rsidRPr="00000000">
                              <w:rPr>
                                <w:rFonts w:ascii="Book Antiqua" w:cs="Book Antiqua" w:eastAsia="Book Antiqua" w:hAnsi="Book Antiqua"/>
                                <w:b w:val="1"/>
                                <w:i w:val="0"/>
                                <w:smallCaps w:val="0"/>
                                <w:strike w:val="0"/>
                                <w:color w:val="000000"/>
                                <w:sz w:val="24"/>
                                <w:vertAlign w:val="baseline"/>
                              </w:rPr>
                              <w:t xml:space="preserve">Considering </w:t>
                            </w:r>
                            <w:r w:rsidDel="00000000" w:rsidR="00000000" w:rsidRPr="00000000">
                              <w:rPr>
                                <w:rFonts w:ascii="Book Antiqua" w:cs="Book Antiqua" w:eastAsia="Book Antiqua" w:hAnsi="Book Antiqua"/>
                                <w:b w:val="0"/>
                                <w:i w:val="0"/>
                                <w:smallCaps w:val="0"/>
                                <w:strike w:val="0"/>
                                <w:color w:val="000000"/>
                                <w:sz w:val="24"/>
                                <w:vertAlign w:val="baseline"/>
                              </w:rPr>
                              <w:t xml:space="preserve">also the need for the mechanism of the Special Rapporteur on Refugees, Asylum Seekers, Internally Displaced Persons and Migrants in Africa to continue to carry out its mandate;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4"/>
                                <w:vertAlign w:val="baseline"/>
                              </w:rPr>
                            </w:r>
                          </w:p>
                          <w:p w:rsidR="00000000" w:rsidDel="00000000" w:rsidP="00000000" w:rsidRDefault="00000000" w:rsidRPr="00000000">
                            <w:pPr>
                              <w:spacing w:after="0" w:before="0" w:line="240"/>
                              <w:ind w:left="30" w:right="27.999999523162842" w:firstLine="0"/>
                              <w:jc w:val="both"/>
                              <w:textDirection w:val="btLr"/>
                            </w:pPr>
                            <w:r w:rsidDel="00000000" w:rsidR="00000000" w:rsidRPr="00000000">
                              <w:rPr>
                                <w:rFonts w:ascii="Book Antiqua" w:cs="Book Antiqua" w:eastAsia="Book Antiqua" w:hAnsi="Book Antiqua"/>
                                <w:b w:val="0"/>
                                <w:i w:val="0"/>
                                <w:smallCaps w:val="0"/>
                                <w:strike w:val="0"/>
                                <w:color w:val="000000"/>
                                <w:sz w:val="24"/>
                                <w:vertAlign w:val="baseline"/>
                              </w:rPr>
                            </w:r>
                            <w:r w:rsidDel="00000000" w:rsidR="00000000" w:rsidRPr="00000000">
                              <w:rPr>
                                <w:rFonts w:ascii="Book Antiqua" w:cs="Book Antiqua" w:eastAsia="Book Antiqua" w:hAnsi="Book Antiqua"/>
                                <w:b w:val="1"/>
                                <w:i w:val="0"/>
                                <w:smallCaps w:val="0"/>
                                <w:strike w:val="0"/>
                                <w:color w:val="000000"/>
                                <w:sz w:val="24"/>
                                <w:vertAlign w:val="baseline"/>
                              </w:rPr>
                              <w:t xml:space="preserve">Decides </w:t>
                            </w:r>
                            <w:r w:rsidDel="00000000" w:rsidR="00000000" w:rsidRPr="00000000">
                              <w:rPr>
                                <w:rFonts w:ascii="Book Antiqua" w:cs="Book Antiqua" w:eastAsia="Book Antiqua" w:hAnsi="Book Antiqua"/>
                                <w:b w:val="0"/>
                                <w:i w:val="0"/>
                                <w:smallCaps w:val="0"/>
                                <w:strike w:val="0"/>
                                <w:color w:val="000000"/>
                                <w:sz w:val="24"/>
                                <w:vertAlign w:val="baseline"/>
                              </w:rPr>
                              <w:t xml:space="preserve">to renew the mandate of </w:t>
                            </w:r>
                            <w:r w:rsidDel="00000000" w:rsidR="00000000" w:rsidRPr="00000000">
                              <w:rPr>
                                <w:rFonts w:ascii="Book Antiqua" w:cs="Book Antiqua" w:eastAsia="Book Antiqua" w:hAnsi="Book Antiqua"/>
                                <w:b w:val="1"/>
                                <w:i w:val="0"/>
                                <w:smallCaps w:val="0"/>
                                <w:strike w:val="0"/>
                                <w:color w:val="000000"/>
                                <w:sz w:val="24"/>
                                <w:vertAlign w:val="baseline"/>
                              </w:rPr>
                              <w:t xml:space="preserve">Commissioner Maya Sahli-Fadel </w:t>
                            </w:r>
                            <w:r w:rsidDel="00000000" w:rsidR="00000000" w:rsidRPr="00000000">
                              <w:rPr>
                                <w:rFonts w:ascii="Book Antiqua" w:cs="Book Antiqua" w:eastAsia="Book Antiqua" w:hAnsi="Book Antiqua"/>
                                <w:b w:val="0"/>
                                <w:i w:val="0"/>
                                <w:smallCaps w:val="0"/>
                                <w:strike w:val="0"/>
                                <w:color w:val="000000"/>
                                <w:sz w:val="24"/>
                                <w:vertAlign w:val="baseline"/>
                              </w:rPr>
                              <w:t xml:space="preserve">as the Special Rapporteur on Refugees, Asylum Seekers, Internally Displaced Persons and Migrants in Africa for a two-year period, with effect from 15 November 2017.</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660400</wp:posOffset>
                </wp:positionV>
                <wp:extent cx="5704840" cy="2936240"/>
                <wp:effectExtent b="0" l="0" r="0" t="0"/>
                <wp:wrapTopAndBottom distB="0" distT="0"/>
                <wp:docPr id="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704840" cy="2936240"/>
                        </a:xfrm>
                        <a:prstGeom prst="rect"/>
                        <a:ln/>
                      </pic:spPr>
                    </pic:pic>
                  </a:graphicData>
                </a:graphic>
              </wp:anchor>
            </w:drawing>
          </mc:Fallback>
        </mc:AlternateConten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Done in Banjul, The Gambia, 15 November 2017</w:t>
      </w:r>
      <w:r w:rsidDel="00000000" w:rsidR="00000000" w:rsidRPr="00000000">
        <w:rPr>
          <w:rtl w:val="0"/>
        </w:rPr>
      </w:r>
    </w:p>
    <w:p w:rsidR="00000000" w:rsidDel="00000000" w:rsidP="00000000" w:rsidRDefault="00000000" w:rsidRPr="00000000" w14:paraId="0000001D">
      <w:pPr>
        <w:pStyle w:val="Heading1"/>
        <w:ind w:left="0" w:firstLine="0"/>
        <w:rPr/>
      </w:pPr>
      <w:bookmarkStart w:colFirst="0" w:colLast="0" w:name="_heading=h.lb9qranza07d" w:id="1"/>
      <w:bookmarkEnd w:id="1"/>
      <w:r w:rsidDel="00000000" w:rsidR="00000000" w:rsidRPr="00000000">
        <w:rPr>
          <w:rtl w:val="0"/>
        </w:rPr>
        <w:t xml:space="preserve">Done in Banjul, The Gambia, 15 November 2017</w:t>
      </w:r>
    </w:p>
    <w:p w:rsidR="00000000" w:rsidDel="00000000" w:rsidP="00000000" w:rsidRDefault="00000000" w:rsidRPr="00000000" w14:paraId="0000001E">
      <w:pPr>
        <w:spacing w:after="240" w:befor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F">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ook Antiqua">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37"/>
    </w:pPr>
    <w:rPr>
      <w:b w:val="1"/>
      <w:sz w:val="24"/>
      <w:szCs w:val="24"/>
    </w:rPr>
  </w:style>
  <w:style w:type="paragraph" w:styleId="Heading2">
    <w:name w:val="heading 2"/>
    <w:basedOn w:val="Normal"/>
    <w:next w:val="Normal"/>
    <w:pPr>
      <w:spacing w:before="1" w:lineRule="auto"/>
      <w:ind w:left="137"/>
      <w:jc w:val="both"/>
    </w:pPr>
    <w:rPr>
      <w:b w:val="1"/>
      <w:i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0B1A34"/>
    <w:pPr>
      <w:widowControl w:val="0"/>
      <w:autoSpaceDE w:val="0"/>
      <w:autoSpaceDN w:val="0"/>
      <w:adjustRightInd w:val="0"/>
      <w:spacing w:after="0" w:line="240" w:lineRule="auto"/>
    </w:pPr>
    <w:rPr>
      <w:rFonts w:ascii="Book Antiqua" w:cs="Book Antiqua" w:hAnsi="Book Antiqua" w:eastAsiaTheme="minorEastAsia"/>
      <w:lang w:val="en-US"/>
    </w:rPr>
  </w:style>
  <w:style w:type="paragraph" w:styleId="Heading1">
    <w:name w:val="heading 1"/>
    <w:basedOn w:val="Normal"/>
    <w:next w:val="Normal"/>
    <w:link w:val="Heading1Char"/>
    <w:uiPriority w:val="1"/>
    <w:qFormat w:val="1"/>
    <w:rsid w:val="000B1A34"/>
    <w:pPr>
      <w:ind w:left="137"/>
      <w:outlineLvl w:val="0"/>
    </w:pPr>
    <w:rPr>
      <w:b w:val="1"/>
      <w:bCs w:val="1"/>
      <w:sz w:val="24"/>
      <w:szCs w:val="24"/>
    </w:rPr>
  </w:style>
  <w:style w:type="paragraph" w:styleId="Heading2">
    <w:name w:val="heading 2"/>
    <w:basedOn w:val="Normal"/>
    <w:next w:val="Normal"/>
    <w:link w:val="Heading2Char"/>
    <w:uiPriority w:val="1"/>
    <w:qFormat w:val="1"/>
    <w:rsid w:val="000B1A34"/>
    <w:pPr>
      <w:spacing w:before="1"/>
      <w:ind w:left="137"/>
      <w:jc w:val="both"/>
      <w:outlineLvl w:val="1"/>
    </w:pPr>
    <w:rPr>
      <w:b w:val="1"/>
      <w:bCs w:val="1"/>
      <w:i w:val="1"/>
      <w:i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0B1A34"/>
    <w:rPr>
      <w:rFonts w:ascii="Book Antiqua" w:cs="Book Antiqua" w:hAnsi="Book Antiqua" w:eastAsiaTheme="minorEastAsia"/>
      <w:b w:val="1"/>
      <w:bCs w:val="1"/>
      <w:sz w:val="24"/>
      <w:szCs w:val="24"/>
      <w:lang w:val="en-US"/>
    </w:rPr>
  </w:style>
  <w:style w:type="character" w:styleId="Heading2Char" w:customStyle="1">
    <w:name w:val="Heading 2 Char"/>
    <w:basedOn w:val="DefaultParagraphFont"/>
    <w:link w:val="Heading2"/>
    <w:uiPriority w:val="1"/>
    <w:rsid w:val="000B1A34"/>
    <w:rPr>
      <w:rFonts w:ascii="Book Antiqua" w:cs="Book Antiqua" w:hAnsi="Book Antiqua" w:eastAsiaTheme="minorEastAsia"/>
      <w:b w:val="1"/>
      <w:bCs w:val="1"/>
      <w:i w:val="1"/>
      <w:iCs w:val="1"/>
      <w:sz w:val="24"/>
      <w:szCs w:val="24"/>
      <w:lang w:val="en-US"/>
    </w:rPr>
  </w:style>
  <w:style w:type="paragraph" w:styleId="BodyText">
    <w:name w:val="Body Text"/>
    <w:basedOn w:val="Normal"/>
    <w:link w:val="BodyTextChar"/>
    <w:uiPriority w:val="1"/>
    <w:qFormat w:val="1"/>
    <w:rsid w:val="000B1A34"/>
    <w:rPr>
      <w:sz w:val="24"/>
      <w:szCs w:val="24"/>
    </w:rPr>
  </w:style>
  <w:style w:type="character" w:styleId="BodyTextChar" w:customStyle="1">
    <w:name w:val="Body Text Char"/>
    <w:basedOn w:val="DefaultParagraphFont"/>
    <w:link w:val="BodyText"/>
    <w:uiPriority w:val="1"/>
    <w:rsid w:val="000B1A34"/>
    <w:rPr>
      <w:rFonts w:ascii="Book Antiqua" w:cs="Book Antiqua" w:hAnsi="Book Antiqua" w:eastAsiaTheme="minorEastAsia"/>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2" Type="http://schemas.openxmlformats.org/officeDocument/2006/relationships/font" Target="fonts/BookAntiqua-regular.ttf"/><Relationship Id="rId3" Type="http://schemas.openxmlformats.org/officeDocument/2006/relationships/font" Target="fonts/BookAntiqua-bold.ttf"/><Relationship Id="rId4" Type="http://schemas.openxmlformats.org/officeDocument/2006/relationships/font" Target="fonts/BookAntiqua-italic.ttf"/><Relationship Id="rId5"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GG9jtpMx9+Poxgutp3C0oufGbQ==">AMUW2mWqKXBl/pkik/fIVkvcUf4TiVM4huofi2BL31ArAF0iq1BOQcjMthqnm15YUpyRhW55Tly4exY0klJnOjpzxkdyiWNKyUFNDj7BDDNt9kfN1wGwEiYNzsnp3fFI5OVfa+J0A8JyKUPAUMPY9z/ywm3cY7Zlrw==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2022-03-01T15:09:00Z</dcterms:created>
  <dc:creator>HOME</dc:creator>
</cp:coreProperties>
</file>