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6" w:line="276" w:lineRule="auto"/>
        <w:ind w:firstLine="137"/>
        <w:rPr/>
      </w:pPr>
      <w:bookmarkStart w:colFirst="0" w:colLast="0" w:name="_heading=h.gjdgxs" w:id="0"/>
      <w:bookmarkEnd w:id="0"/>
      <w:r w:rsidDel="00000000" w:rsidR="00000000" w:rsidRPr="00000000">
        <w:rPr>
          <w:rtl w:val="0"/>
        </w:rPr>
        <w:t xml:space="preserve">ACHPR/Res.381 (LXI) 2017: Resolution on the Appointment of the Special Rapporteur on Human Rights Defenders and Focal Point on Reprisals in Africa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ind w:firstLine="137"/>
        <w:jc w:val="left"/>
        <w:rPr/>
      </w:pPr>
      <w:r w:rsidDel="00000000" w:rsidR="00000000" w:rsidRPr="00000000">
        <w:rPr>
          <w:rtl w:val="0"/>
        </w:rPr>
        <w:t xml:space="preserve">The African Commission on Human and Peoples' Rights (the Commission), meeting at its 61</w:t>
      </w:r>
      <w:r w:rsidDel="00000000" w:rsidR="00000000" w:rsidRPr="00000000">
        <w:rPr>
          <w:sz w:val="26.666666666666668"/>
          <w:szCs w:val="26.666666666666668"/>
          <w:vertAlign w:val="superscript"/>
          <w:rtl w:val="0"/>
        </w:rPr>
        <w:t xml:space="preserve">st </w:t>
      </w:r>
      <w:r w:rsidDel="00000000" w:rsidR="00000000" w:rsidRPr="00000000">
        <w:rPr>
          <w:rtl w:val="0"/>
        </w:rPr>
        <w:t xml:space="preserve">Ordinary Session held from 1 to 15 November 2017, in Banjul, The Gambia: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mandate to promote and protect human and peoples’ rights in Africa under the African Charter on Human and Peoples’ Rights (African Charter);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419100</wp:posOffset>
                </wp:positionV>
                <wp:extent cx="5753100" cy="5530850"/>
                <wp:effectExtent b="0" l="0" r="0" t="0"/>
                <wp:wrapNone/>
                <wp:docPr id="6" name=""/>
                <a:graphic>
                  <a:graphicData uri="http://schemas.microsoft.com/office/word/2010/wordprocessingShape">
                    <wps:wsp>
                      <wps:cNvSpPr/>
                      <wps:cNvPr id="2" name="Shape 2"/>
                      <wps:spPr>
                        <a:xfrm>
                          <a:off x="2474213" y="1019338"/>
                          <a:ext cx="5743575" cy="5521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419100</wp:posOffset>
                </wp:positionV>
                <wp:extent cx="5753100" cy="5530850"/>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53100" cy="553085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533400</wp:posOffset>
                </wp:positionV>
                <wp:extent cx="5771515" cy="1751965"/>
                <wp:effectExtent b="0" l="0" r="0" t="0"/>
                <wp:wrapTopAndBottom distB="0" distT="0"/>
                <wp:docPr id="7" name=""/>
                <a:graphic>
                  <a:graphicData uri="http://schemas.microsoft.com/office/word/2010/wordprocessingShape">
                    <wps:wsp>
                      <wps:cNvSpPr/>
                      <wps:cNvPr id="3" name="Shape 3"/>
                      <wps:spPr>
                        <a:xfrm>
                          <a:off x="2465005" y="2908780"/>
                          <a:ext cx="5761990" cy="1742440"/>
                        </a:xfrm>
                        <a:prstGeom prst="rect">
                          <a:avLst/>
                        </a:prstGeom>
                        <a:solidFill>
                          <a:srgbClr val="FFFFFF"/>
                        </a:solidFill>
                        <a:ln>
                          <a:noFill/>
                        </a:ln>
                      </wps:spPr>
                      <wps:txbx>
                        <w:txbxContent>
                          <w:p w:rsidR="00000000" w:rsidDel="00000000" w:rsidP="00000000" w:rsidRDefault="00000000" w:rsidRPr="00000000">
                            <w:pPr>
                              <w:spacing w:after="0" w:before="0" w:line="240"/>
                              <w:ind w:left="30" w:right="27.999999523162842" w:firstLine="0"/>
                              <w:jc w:val="both"/>
                              <w:textDirection w:val="btLr"/>
                            </w:pPr>
                            <w:r w:rsidDel="00000000" w:rsidR="00000000" w:rsidRPr="00000000">
                              <w:rPr>
                                <w:rFonts w:ascii="Book Antiqua" w:cs="Book Antiqua" w:eastAsia="Book Antiqua" w:hAnsi="Book Antiqua"/>
                                <w:b w:val="1"/>
                                <w:i w:val="0"/>
                                <w:smallCaps w:val="0"/>
                                <w:strike w:val="0"/>
                                <w:color w:val="000000"/>
                                <w:sz w:val="24"/>
                                <w:vertAlign w:val="baseline"/>
                              </w:rPr>
                              <w:t xml:space="preserve">Recalling </w:t>
                            </w:r>
                            <w:r w:rsidDel="00000000" w:rsidR="00000000" w:rsidRPr="00000000">
                              <w:rPr>
                                <w:rFonts w:ascii="Book Antiqua" w:cs="Book Antiqua" w:eastAsia="Book Antiqua" w:hAnsi="Book Antiqua"/>
                                <w:b w:val="0"/>
                                <w:i w:val="0"/>
                                <w:smallCaps w:val="0"/>
                                <w:strike w:val="0"/>
                                <w:color w:val="000000"/>
                                <w:sz w:val="24"/>
                                <w:vertAlign w:val="baseline"/>
                              </w:rPr>
                              <w:t xml:space="preserve">its Resolution ACHPR/Res.69 (XXXV) 04 on the protection of human rights defenders in Africa adopted at its 35</w:t>
                            </w:r>
                            <w:r w:rsidDel="00000000" w:rsidR="00000000" w:rsidRPr="00000000">
                              <w:rPr>
                                <w:rFonts w:ascii="Book Antiqua" w:cs="Book Antiqua" w:eastAsia="Book Antiqua" w:hAnsi="Book Antiqua"/>
                                <w:b w:val="0"/>
                                <w:i w:val="0"/>
                                <w:smallCaps w:val="0"/>
                                <w:strike w:val="0"/>
                                <w:color w:val="000000"/>
                                <w:sz w:val="26.66666603088379"/>
                                <w:vertAlign w:val="superscript"/>
                              </w:rPr>
                              <w:t xml:space="preserve">th </w:t>
                            </w:r>
                            <w:r w:rsidDel="00000000" w:rsidR="00000000" w:rsidRPr="00000000">
                              <w:rPr>
                                <w:rFonts w:ascii="Book Antiqua" w:cs="Book Antiqua" w:eastAsia="Book Antiqua" w:hAnsi="Book Antiqua"/>
                                <w:b w:val="0"/>
                                <w:i w:val="0"/>
                                <w:smallCaps w:val="0"/>
                                <w:strike w:val="0"/>
                                <w:color w:val="000000"/>
                                <w:sz w:val="24"/>
                                <w:vertAlign w:val="baseline"/>
                              </w:rPr>
                              <w:t xml:space="preserve">Ordinary Session held from 21 May to 4 June 2004 in Banjul, The Gambia;</w:t>
                            </w:r>
                          </w:p>
                          <w:p w:rsidR="00000000" w:rsidDel="00000000" w:rsidP="00000000" w:rsidRDefault="00000000" w:rsidRPr="00000000">
                            <w:pPr>
                              <w:spacing w:after="0" w:before="12.000000476837158"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p>
                          <w:p w:rsidR="00000000" w:rsidDel="00000000" w:rsidP="00000000" w:rsidRDefault="00000000" w:rsidRPr="00000000">
                            <w:pPr>
                              <w:spacing w:after="0" w:before="0" w:line="240"/>
                              <w:ind w:left="30" w:right="0" w:firstLine="0"/>
                              <w:jc w:val="both"/>
                              <w:textDirection w:val="btLr"/>
                            </w:pPr>
                            <w:r w:rsidDel="00000000" w:rsidR="00000000" w:rsidRPr="00000000">
                              <w:rPr>
                                <w:rFonts w:ascii="Book Antiqua" w:cs="Book Antiqua" w:eastAsia="Book Antiqua" w:hAnsi="Book Antiqua"/>
                                <w:b w:val="0"/>
                                <w:i w:val="0"/>
                                <w:smallCaps w:val="0"/>
                                <w:strike w:val="0"/>
                                <w:color w:val="000000"/>
                                <w:sz w:val="23"/>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Further   recalling   </w:t>
                            </w:r>
                            <w:r w:rsidDel="00000000" w:rsidR="00000000" w:rsidRPr="00000000">
                              <w:rPr>
                                <w:rFonts w:ascii="Book Antiqua" w:cs="Book Antiqua" w:eastAsia="Book Antiqua" w:hAnsi="Book Antiqua"/>
                                <w:b w:val="0"/>
                                <w:i w:val="0"/>
                                <w:smallCaps w:val="0"/>
                                <w:strike w:val="0"/>
                                <w:color w:val="000000"/>
                                <w:sz w:val="24"/>
                                <w:vertAlign w:val="baseline"/>
                              </w:rPr>
                              <w:t xml:space="preserve">its   Resolutions   ACHPR/Res.56   (XXIX)   01,   ACHPR/Res.104</w:t>
                            </w:r>
                          </w:p>
                          <w:p w:rsidR="00000000" w:rsidDel="00000000" w:rsidP="00000000" w:rsidRDefault="00000000" w:rsidRPr="00000000">
                            <w:pPr>
                              <w:spacing w:after="0" w:before="0" w:line="240"/>
                              <w:ind w:left="30" w:right="27.000000476837158"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0"/>
                                <w:i w:val="0"/>
                                <w:smallCaps w:val="0"/>
                                <w:strike w:val="0"/>
                                <w:color w:val="000000"/>
                                <w:sz w:val="24"/>
                                <w:vertAlign w:val="baseline"/>
                              </w:rPr>
                              <w:t xml:space="preserve">(XXXXI) 07, ACHPR/Res.119 (XXXXII) 07, ACHPR/Res.196 (L) 11, ACHPR/Res.345 (LVIII) 16 and ACHPR/Res.376 (LX) 17 on the situation of human rights defenders in Africa;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533400</wp:posOffset>
                </wp:positionV>
                <wp:extent cx="5771515" cy="1751965"/>
                <wp:effectExtent b="0" l="0" r="0" t="0"/>
                <wp:wrapTopAndBottom distB="0" distT="0"/>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71515" cy="1751965"/>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7" w:right="13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Resolutions ACHPR/Res.83 (XXXVIII) 05, ACHPR/Res.149 (XLVI) 09, ACHPR/Res.171 (XLVII) 10, and ACHPR/Res.202 (L) 11 on the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appointment of the various Special Rapporteurs on Human Rights Defenders in Africa;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Resolutions ACHPR/Res.248 (LIV) 2013 and ACHPR/Res.315 (LVII) 15 on the Renewal of the Mandate of the Special Rapporteur on Human Rights Defenders in Africa;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Pr>
        <mc:AlternateContent>
          <mc:Choice Requires="wpg">
            <w:drawing>
              <wp:inline distB="0" distT="0" distL="0" distR="0">
                <wp:extent cx="5809615" cy="1903095"/>
                <wp:effectExtent b="0" l="0" r="0" t="0"/>
                <wp:docPr id="9" name=""/>
                <a:graphic>
                  <a:graphicData uri="http://schemas.microsoft.com/office/word/2010/wordprocessingShape">
                    <wps:wsp>
                      <wps:cNvSpPr/>
                      <wps:cNvPr id="5" name="Shape 5"/>
                      <wps:spPr>
                        <a:xfrm>
                          <a:off x="2445955" y="2833215"/>
                          <a:ext cx="5800090" cy="18935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30" w:right="27.000000476837158"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Bearing in mind also </w:t>
                            </w:r>
                            <w:r w:rsidDel="00000000" w:rsidR="00000000" w:rsidRPr="00000000">
                              <w:rPr>
                                <w:rFonts w:ascii="Book Antiqua" w:cs="Book Antiqua" w:eastAsia="Book Antiqua" w:hAnsi="Book Antiqua"/>
                                <w:b w:val="0"/>
                                <w:i w:val="0"/>
                                <w:smallCaps w:val="0"/>
                                <w:strike w:val="0"/>
                                <w:color w:val="000000"/>
                                <w:sz w:val="24"/>
                                <w:vertAlign w:val="baseline"/>
                              </w:rPr>
                              <w:t xml:space="preserve">that in the Grand Bay Declaration and Plan of Action (Mauritius), the Organisation of African Unity (African Union) called on Member States “to take appropriate measures to implement the United Nations Declaration on Human Rights Defenders”;</w:t>
                            </w:r>
                          </w:p>
                          <w:p w:rsidR="00000000" w:rsidDel="00000000" w:rsidP="00000000" w:rsidRDefault="00000000" w:rsidRPr="00000000">
                            <w:pPr>
                              <w:spacing w:after="0" w:before="12.000000476837158"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p>
                          <w:p w:rsidR="00000000" w:rsidDel="00000000" w:rsidP="00000000" w:rsidRDefault="00000000" w:rsidRPr="00000000">
                            <w:pPr>
                              <w:spacing w:after="0" w:before="0" w:line="240"/>
                              <w:ind w:left="30" w:right="27.999999523162842" w:firstLine="0"/>
                              <w:jc w:val="both"/>
                              <w:textDirection w:val="btLr"/>
                            </w:pPr>
                            <w:r w:rsidDel="00000000" w:rsidR="00000000" w:rsidRPr="00000000">
                              <w:rPr>
                                <w:rFonts w:ascii="Book Antiqua" w:cs="Book Antiqua" w:eastAsia="Book Antiqua" w:hAnsi="Book Antiqua"/>
                                <w:b w:val="0"/>
                                <w:i w:val="0"/>
                                <w:smallCaps w:val="0"/>
                                <w:strike w:val="0"/>
                                <w:color w:val="000000"/>
                                <w:sz w:val="23"/>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Recalling </w:t>
                            </w:r>
                            <w:r w:rsidDel="00000000" w:rsidR="00000000" w:rsidRPr="00000000">
                              <w:rPr>
                                <w:rFonts w:ascii="Book Antiqua" w:cs="Book Antiqua" w:eastAsia="Book Antiqua" w:hAnsi="Book Antiqua"/>
                                <w:b w:val="0"/>
                                <w:i w:val="0"/>
                                <w:smallCaps w:val="0"/>
                                <w:strike w:val="0"/>
                                <w:color w:val="000000"/>
                                <w:sz w:val="24"/>
                                <w:vertAlign w:val="baseline"/>
                              </w:rPr>
                              <w:t xml:space="preserve">its Resolution ACHPR/Res.273 (LV) 14 on the expansion of the mandate of the Special Rapporteur on Human Rights Defenders in Africa to include reprisals, adopted at the 55</w:t>
                            </w:r>
                            <w:r w:rsidDel="00000000" w:rsidR="00000000" w:rsidRPr="00000000">
                              <w:rPr>
                                <w:rFonts w:ascii="Book Antiqua" w:cs="Book Antiqua" w:eastAsia="Book Antiqua" w:hAnsi="Book Antiqua"/>
                                <w:b w:val="0"/>
                                <w:i w:val="0"/>
                                <w:smallCaps w:val="0"/>
                                <w:strike w:val="0"/>
                                <w:color w:val="000000"/>
                                <w:sz w:val="26.66666603088379"/>
                                <w:vertAlign w:val="superscript"/>
                              </w:rPr>
                              <w:t xml:space="preserve">th </w:t>
                            </w:r>
                            <w:r w:rsidDel="00000000" w:rsidR="00000000" w:rsidRPr="00000000">
                              <w:rPr>
                                <w:rFonts w:ascii="Book Antiqua" w:cs="Book Antiqua" w:eastAsia="Book Antiqua" w:hAnsi="Book Antiqua"/>
                                <w:b w:val="0"/>
                                <w:i w:val="0"/>
                                <w:smallCaps w:val="0"/>
                                <w:strike w:val="0"/>
                                <w:color w:val="000000"/>
                                <w:sz w:val="24"/>
                                <w:vertAlign w:val="baseline"/>
                              </w:rPr>
                              <w:t xml:space="preserve">Ordinary Session held from 28 April to 12 May 2014 in Luanda, Angola;</w:t>
                            </w:r>
                          </w:p>
                        </w:txbxContent>
                      </wps:txbx>
                      <wps:bodyPr anchorCtr="0" anchor="t" bIns="0" lIns="0" spcFirstLastPara="1" rIns="0" wrap="square" tIns="0">
                        <a:noAutofit/>
                      </wps:bodyPr>
                    </wps:wsp>
                  </a:graphicData>
                </a:graphic>
              </wp:inline>
            </w:drawing>
          </mc:Choice>
          <mc:Fallback>
            <w:drawing>
              <wp:inline distB="0" distT="0" distL="0" distR="0">
                <wp:extent cx="5809615" cy="1903095"/>
                <wp:effectExtent b="0" l="0" r="0" t="0"/>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09615" cy="19030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7"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new responsibilities of the Special Rapporteur as the focal person for cases of reprisals against human rights defenders in Africa;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end-of-term report of the Special Rapporteur on Human Rights Defenders and Focal Point on Reprisals in Africa;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Noting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with appreciation the work undertaken by Commissioner Reine Alapini Gansou as the Special Rapporteur on Human Rights Defenders and Focal Point on Reprisals in Africa;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Noting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importance of the work of the Special Rapporteur regarding the search for solutions to problems relating to the protection of human rights defenders;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need for the mechanism of the Special Rapporteur on Human Rights Defenders and Focal Point on Reprisals in Africa to continue to carry out its mandate;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355600</wp:posOffset>
                </wp:positionV>
                <wp:extent cx="5762625" cy="5292725"/>
                <wp:effectExtent b="0" l="0" r="0" t="0"/>
                <wp:wrapNone/>
                <wp:docPr id="8" name=""/>
                <a:graphic>
                  <a:graphicData uri="http://schemas.microsoft.com/office/word/2010/wordprocessingShape">
                    <wps:wsp>
                      <wps:cNvSpPr/>
                      <wps:cNvPr id="4" name="Shape 4"/>
                      <wps:spPr>
                        <a:xfrm>
                          <a:off x="2469450" y="1138400"/>
                          <a:ext cx="5753100" cy="528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355600</wp:posOffset>
                </wp:positionV>
                <wp:extent cx="5762625" cy="5292725"/>
                <wp:effectExtent b="0" l="0" r="0" t="0"/>
                <wp:wrapNone/>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62625" cy="5292725"/>
                        </a:xfrm>
                        <a:prstGeom prst="rect"/>
                        <a:ln/>
                      </pic:spPr>
                    </pic:pic>
                  </a:graphicData>
                </a:graphic>
              </wp:anchor>
            </w:drawing>
          </mc:Fallback>
        </mc:AlternateConten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Pr>
        <mc:AlternateContent>
          <mc:Choice Requires="wpg">
            <w:drawing>
              <wp:inline distB="0" distT="0" distL="0" distR="0">
                <wp:extent cx="5741035" cy="1287531"/>
                <wp:effectExtent b="0" l="0" r="0" t="0"/>
                <wp:docPr id="10" name=""/>
                <a:graphic>
                  <a:graphicData uri="http://schemas.microsoft.com/office/word/2010/wordprocessingShape">
                    <wps:wsp>
                      <wps:cNvSpPr/>
                      <wps:cNvPr id="6" name="Shape 6"/>
                      <wps:spPr>
                        <a:xfrm>
                          <a:off x="2480245" y="3140997"/>
                          <a:ext cx="5731510" cy="127800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30" w:right="27.999999523162842"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Decides </w:t>
                            </w:r>
                            <w:r w:rsidDel="00000000" w:rsidR="00000000" w:rsidRPr="00000000">
                              <w:rPr>
                                <w:rFonts w:ascii="Book Antiqua" w:cs="Book Antiqua" w:eastAsia="Book Antiqua" w:hAnsi="Book Antiqua"/>
                                <w:b w:val="0"/>
                                <w:i w:val="0"/>
                                <w:smallCaps w:val="0"/>
                                <w:strike w:val="0"/>
                                <w:color w:val="000000"/>
                                <w:sz w:val="24"/>
                                <w:vertAlign w:val="baseline"/>
                              </w:rPr>
                              <w:t xml:space="preserve">to appoint </w:t>
                            </w:r>
                            <w:r w:rsidDel="00000000" w:rsidR="00000000" w:rsidRPr="00000000">
                              <w:rPr>
                                <w:rFonts w:ascii="Book Antiqua" w:cs="Book Antiqua" w:eastAsia="Book Antiqua" w:hAnsi="Book Antiqua"/>
                                <w:b w:val="1"/>
                                <w:i w:val="0"/>
                                <w:smallCaps w:val="0"/>
                                <w:strike w:val="0"/>
                                <w:color w:val="000000"/>
                                <w:sz w:val="24"/>
                                <w:vertAlign w:val="baseline"/>
                              </w:rPr>
                              <w:t xml:space="preserve">Commissioner Prof. Rémy Ngoy Lumbu </w:t>
                            </w:r>
                            <w:r w:rsidDel="00000000" w:rsidR="00000000" w:rsidRPr="00000000">
                              <w:rPr>
                                <w:rFonts w:ascii="Book Antiqua" w:cs="Book Antiqua" w:eastAsia="Book Antiqua" w:hAnsi="Book Antiqua"/>
                                <w:b w:val="0"/>
                                <w:i w:val="0"/>
                                <w:smallCaps w:val="0"/>
                                <w:strike w:val="0"/>
                                <w:color w:val="000000"/>
                                <w:sz w:val="24"/>
                                <w:vertAlign w:val="baseline"/>
                              </w:rPr>
                              <w:t xml:space="preserve">as the Special Rapporteur on Human Rights Defenders and Focal Point on Reprisals in Africa for a period of two (2) years, with effect from 15 November 2017.</w:t>
                            </w:r>
                          </w:p>
                        </w:txbxContent>
                      </wps:txbx>
                      <wps:bodyPr anchorCtr="0" anchor="t" bIns="0" lIns="0" spcFirstLastPara="1" rIns="0" wrap="square" tIns="0">
                        <a:noAutofit/>
                      </wps:bodyPr>
                    </wps:wsp>
                  </a:graphicData>
                </a:graphic>
              </wp:inline>
            </w:drawing>
          </mc:Choice>
          <mc:Fallback>
            <w:drawing>
              <wp:inline distB="0" distT="0" distL="0" distR="0">
                <wp:extent cx="5741035" cy="1287531"/>
                <wp:effectExtent b="0" l="0" r="0" t="0"/>
                <wp:docPr id="1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741035" cy="12875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ind w:left="107" w:firstLine="0"/>
        <w:rPr>
          <w:sz w:val="24"/>
          <w:szCs w:val="24"/>
        </w:rPr>
      </w:pPr>
      <w:r w:rsidDel="00000000" w:rsidR="00000000" w:rsidRPr="00000000">
        <w:rPr>
          <w:b w:val="1"/>
          <w:sz w:val="24"/>
          <w:szCs w:val="24"/>
          <w:rtl w:val="0"/>
        </w:rPr>
        <w:t xml:space="preserve">Done in Banjul, The Gambia, 15 November 201</w:t>
      </w:r>
      <w:r w:rsidDel="00000000" w:rsidR="00000000" w:rsidRPr="00000000">
        <w:rPr>
          <w:sz w:val="24"/>
          <w:szCs w:val="24"/>
          <w:rtl w:val="0"/>
        </w:rPr>
        <w:t xml:space="preserve">7</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7"/>
    </w:pPr>
    <w:rPr>
      <w:b w:val="1"/>
      <w:sz w:val="24"/>
      <w:szCs w:val="24"/>
    </w:rPr>
  </w:style>
  <w:style w:type="paragraph" w:styleId="Heading2">
    <w:name w:val="heading 2"/>
    <w:basedOn w:val="Normal"/>
    <w:next w:val="Normal"/>
    <w:pPr>
      <w:spacing w:before="1" w:lineRule="auto"/>
      <w:ind w:left="137"/>
      <w:jc w:val="both"/>
    </w:pPr>
    <w:rPr>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7E6101"/>
    <w:pPr>
      <w:widowControl w:val="0"/>
      <w:autoSpaceDE w:val="0"/>
      <w:autoSpaceDN w:val="0"/>
      <w:adjustRightInd w:val="0"/>
      <w:spacing w:after="0" w:line="240" w:lineRule="auto"/>
    </w:pPr>
    <w:rPr>
      <w:rFonts w:ascii="Book Antiqua" w:cs="Book Antiqua" w:hAnsi="Book Antiqua" w:eastAsiaTheme="minorEastAsia"/>
      <w:lang w:val="en-US"/>
    </w:rPr>
  </w:style>
  <w:style w:type="paragraph" w:styleId="Heading1">
    <w:name w:val="heading 1"/>
    <w:basedOn w:val="Normal"/>
    <w:next w:val="Normal"/>
    <w:link w:val="Heading1Char"/>
    <w:uiPriority w:val="1"/>
    <w:qFormat w:val="1"/>
    <w:rsid w:val="007E6101"/>
    <w:pPr>
      <w:ind w:left="137"/>
      <w:outlineLvl w:val="0"/>
    </w:pPr>
    <w:rPr>
      <w:b w:val="1"/>
      <w:bCs w:val="1"/>
      <w:sz w:val="24"/>
      <w:szCs w:val="24"/>
    </w:rPr>
  </w:style>
  <w:style w:type="paragraph" w:styleId="Heading2">
    <w:name w:val="heading 2"/>
    <w:basedOn w:val="Normal"/>
    <w:next w:val="Normal"/>
    <w:link w:val="Heading2Char"/>
    <w:uiPriority w:val="1"/>
    <w:qFormat w:val="1"/>
    <w:rsid w:val="007E6101"/>
    <w:pPr>
      <w:spacing w:before="1"/>
      <w:ind w:left="137"/>
      <w:jc w:val="both"/>
      <w:outlineLvl w:val="1"/>
    </w:pPr>
    <w:rPr>
      <w:b w:val="1"/>
      <w:bCs w:val="1"/>
      <w:i w:val="1"/>
      <w:i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7E6101"/>
    <w:rPr>
      <w:rFonts w:ascii="Book Antiqua" w:cs="Book Antiqua" w:hAnsi="Book Antiqua" w:eastAsiaTheme="minorEastAsia"/>
      <w:b w:val="1"/>
      <w:bCs w:val="1"/>
      <w:sz w:val="24"/>
      <w:szCs w:val="24"/>
      <w:lang w:val="en-US"/>
    </w:rPr>
  </w:style>
  <w:style w:type="character" w:styleId="Heading2Char" w:customStyle="1">
    <w:name w:val="Heading 2 Char"/>
    <w:basedOn w:val="DefaultParagraphFont"/>
    <w:link w:val="Heading2"/>
    <w:uiPriority w:val="1"/>
    <w:rsid w:val="007E6101"/>
    <w:rPr>
      <w:rFonts w:ascii="Book Antiqua" w:cs="Book Antiqua" w:hAnsi="Book Antiqua" w:eastAsiaTheme="minorEastAsia"/>
      <w:b w:val="1"/>
      <w:bCs w:val="1"/>
      <w:i w:val="1"/>
      <w:iCs w:val="1"/>
      <w:sz w:val="24"/>
      <w:szCs w:val="24"/>
      <w:lang w:val="en-US"/>
    </w:rPr>
  </w:style>
  <w:style w:type="paragraph" w:styleId="BodyText">
    <w:name w:val="Body Text"/>
    <w:basedOn w:val="Normal"/>
    <w:link w:val="BodyTextChar"/>
    <w:uiPriority w:val="1"/>
    <w:qFormat w:val="1"/>
    <w:rsid w:val="007E6101"/>
    <w:rPr>
      <w:sz w:val="24"/>
      <w:szCs w:val="24"/>
    </w:rPr>
  </w:style>
  <w:style w:type="character" w:styleId="BodyTextChar" w:customStyle="1">
    <w:name w:val="Body Text Char"/>
    <w:basedOn w:val="DefaultParagraphFont"/>
    <w:link w:val="BodyText"/>
    <w:uiPriority w:val="1"/>
    <w:rsid w:val="007E6101"/>
    <w:rPr>
      <w:rFonts w:ascii="Book Antiqua" w:cs="Book Antiqua" w:hAnsi="Book Antiqua" w:eastAsiaTheme="minorEastAsia"/>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3Dy9/cT6H9HYRwsEkkcHugWnFQ==">AMUW2mVthdJEwPzm2Iry7MtBuXdLFppqpKDiYvwK/DPYNyHUgjVYt030d+MqUAgMGs1Ld04SyqpFFsR2c04xtaB/2jfdet/VQZwlDQt+fg3DdJEPzKe+B5jDWyHj0lAvfUR/Dq+Lm2jn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2022-03-01T15:13:00Z</dcterms:created>
  <dc:creator>HOME</dc:creator>
</cp:coreProperties>
</file>