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Rule="auto"/>
        <w:ind w:right="483" w:firstLine="137"/>
        <w:rPr/>
      </w:pPr>
      <w:bookmarkStart w:colFirst="0" w:colLast="0" w:name="_heading=h.gjdgxs" w:id="0"/>
      <w:bookmarkEnd w:id="0"/>
      <w:r w:rsidDel="00000000" w:rsidR="00000000" w:rsidRPr="00000000">
        <w:rPr>
          <w:rtl w:val="0"/>
        </w:rPr>
        <w:t xml:space="preserve">ACHPR/Res. 388(LXI) 2017: Resolution on the Appointment of the Chairperson, Renewal of the Mandate and Reconstitution of the Advisory Committee on Budgetary and Staff Matters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right="137" w:firstLine="137"/>
        <w:rPr/>
      </w:pPr>
      <w:r w:rsidDel="00000000" w:rsidR="00000000" w:rsidRPr="00000000">
        <w:rPr>
          <w:rtl w:val="0"/>
        </w:rPr>
        <w:t xml:space="preserve">The African Commission on Human and Peoples’ Rights (the Commission) meeting at its 61st 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8"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and protect human and peoples’ rights in Africa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under the African Charter on Human and Peoples’ Rights (the African Charter);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Aware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the vital role of its Secretariat in ensuring the effective discharge of the mandate of the Commission;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Further conscious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the difficulties the Commission faces in the preparation, presentation and execution of its budget, and desirous of facilitating its budgetary preparation process;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Welcoming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decision of the Executive Council of the African Union (AU) to strengthen the human resource capacity of the Commission, through the recruitment of 33 more staff members over a period of five years from 2010 to 2014;</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decision taken during the 6</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Extra-Ordinary Session to establish an Advisory Committee on Budgetary and Staff Matters to work with the Secretariat to prepare the Programmes Budget of the Commission;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Further 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AU Executive Council Decision EX.CL/Dec.529 (XV) by which the African Union Commission (AUC), in consultation with the Permanent Representatives’ Committee (PRC), is required to expedite the review of the honorarium and allowances of the members of the Commission, in accordance with AU financial rules and regulations;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 142 (XXXXV) 09, adopted at its 45</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establishing an Advisory Committee on Budgetary and Staff Matters;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Mindful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Resolutions ACHPR/Res.191 (L)11, ACHPR/Res.256 (LIV) 2013 and ACHPR/Res.313 (LVII) 2015 on the renewal and expansion of the mandate of the Advisory Committee on Budgetary and Staff Matters;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with appreciation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work undertaken by the Advisory Committee under the leadership of Commissioner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Med Kaggwa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the mandate of the Chairperson and the members of the Advisory Committee has come to an end;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Recognizing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the Committee and the need to allow the Committee to continue to carry out its mandate;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ind w:firstLine="137"/>
        <w:rPr/>
      </w:pPr>
      <w:r w:rsidDel="00000000" w:rsidR="00000000" w:rsidRPr="00000000">
        <w:rPr>
          <w:rtl w:val="0"/>
        </w:rPr>
        <w:t xml:space="preserve">Decides 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pos="1054"/>
        </w:tabs>
        <w:spacing w:before="1" w:line="276" w:lineRule="auto"/>
        <w:ind w:left="1051" w:right="136" w:hanging="555"/>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Book Antiqua" w:cs="Book Antiqua" w:eastAsia="Book Antiqua" w:hAnsi="Book Antiqua"/>
          <w:b w:val="1"/>
          <w:sz w:val="24"/>
          <w:szCs w:val="24"/>
          <w:rtl w:val="0"/>
        </w:rPr>
        <w:t xml:space="preserve">Appoint </w:t>
      </w:r>
      <w:r w:rsidDel="00000000" w:rsidR="00000000" w:rsidRPr="00000000">
        <w:rPr>
          <w:rFonts w:ascii="Book Antiqua" w:cs="Book Antiqua" w:eastAsia="Book Antiqua" w:hAnsi="Book Antiqua"/>
          <w:sz w:val="24"/>
          <w:szCs w:val="24"/>
          <w:rtl w:val="0"/>
        </w:rPr>
        <w:t xml:space="preserve">Commissioner </w:t>
      </w:r>
      <w:r w:rsidDel="00000000" w:rsidR="00000000" w:rsidRPr="00000000">
        <w:rPr>
          <w:rFonts w:ascii="Book Antiqua" w:cs="Book Antiqua" w:eastAsia="Book Antiqua" w:hAnsi="Book Antiqua"/>
          <w:b w:val="1"/>
          <w:sz w:val="24"/>
          <w:szCs w:val="24"/>
          <w:rtl w:val="0"/>
        </w:rPr>
        <w:t xml:space="preserve">Solomon Ayele Dersso </w:t>
      </w:r>
      <w:r w:rsidDel="00000000" w:rsidR="00000000" w:rsidRPr="00000000">
        <w:rPr>
          <w:rFonts w:ascii="Book Antiqua" w:cs="Book Antiqua" w:eastAsia="Book Antiqua" w:hAnsi="Book Antiqua"/>
          <w:sz w:val="24"/>
          <w:szCs w:val="24"/>
          <w:rtl w:val="0"/>
        </w:rPr>
        <w:t xml:space="preserve">as Chairperson of the Committee for a period of 2 years with effect from 15 November 2017;</w:t>
      </w:r>
      <w:r w:rsidDel="00000000" w:rsidR="00000000" w:rsidRPr="00000000">
        <w:rPr>
          <w:rtl w:val="0"/>
        </w:rPr>
      </w:r>
    </w:p>
    <w:p w:rsidR="00000000" w:rsidDel="00000000" w:rsidP="00000000" w:rsidRDefault="00000000" w:rsidRPr="00000000" w14:paraId="0000001F">
      <w:pPr>
        <w:tabs>
          <w:tab w:val="left" w:pos="1054"/>
        </w:tabs>
        <w:spacing w:line="276" w:lineRule="auto"/>
        <w:ind w:left="1051" w:right="135" w:hanging="555"/>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r>
      <w:r w:rsidDel="00000000" w:rsidR="00000000" w:rsidRPr="00000000">
        <w:rPr>
          <w:rFonts w:ascii="Book Antiqua" w:cs="Book Antiqua" w:eastAsia="Book Antiqua" w:hAnsi="Book Antiqua"/>
          <w:b w:val="1"/>
          <w:sz w:val="24"/>
          <w:szCs w:val="24"/>
          <w:rtl w:val="0"/>
        </w:rPr>
        <w:t xml:space="preserve">Renew </w:t>
      </w:r>
      <w:r w:rsidDel="00000000" w:rsidR="00000000" w:rsidRPr="00000000">
        <w:rPr>
          <w:rFonts w:ascii="Book Antiqua" w:cs="Book Antiqua" w:eastAsia="Book Antiqua" w:hAnsi="Book Antiqua"/>
          <w:sz w:val="24"/>
          <w:szCs w:val="24"/>
          <w:rtl w:val="0"/>
        </w:rPr>
        <w:t xml:space="preserve">the mandate of </w:t>
      </w:r>
      <w:r w:rsidDel="00000000" w:rsidR="00000000" w:rsidRPr="00000000">
        <w:rPr>
          <w:rFonts w:ascii="Book Antiqua" w:cs="Book Antiqua" w:eastAsia="Book Antiqua" w:hAnsi="Book Antiqua"/>
          <w:b w:val="1"/>
          <w:sz w:val="24"/>
          <w:szCs w:val="24"/>
          <w:rtl w:val="0"/>
        </w:rPr>
        <w:t xml:space="preserve">Commissioner Soyata Maiga </w:t>
      </w:r>
      <w:r w:rsidDel="00000000" w:rsidR="00000000" w:rsidRPr="00000000">
        <w:rPr>
          <w:rFonts w:ascii="Book Antiqua" w:cs="Book Antiqua" w:eastAsia="Book Antiqua" w:hAnsi="Book Antiqua"/>
          <w:sz w:val="24"/>
          <w:szCs w:val="24"/>
          <w:rtl w:val="0"/>
        </w:rPr>
        <w:t xml:space="preserve">as a Member of the Committee for the same period; and</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809615" cy="646569"/>
                <wp:effectExtent b="0" l="0" r="0" t="0"/>
                <wp:docPr id="2" name=""/>
                <a:graphic>
                  <a:graphicData uri="http://schemas.microsoft.com/office/word/2010/wordprocessingShape">
                    <wps:wsp>
                      <wps:cNvSpPr/>
                      <wps:cNvPr id="2" name="Shape 2"/>
                      <wps:spPr>
                        <a:xfrm>
                          <a:off x="2445955" y="3467580"/>
                          <a:ext cx="5800090" cy="624840"/>
                        </a:xfrm>
                        <a:prstGeom prst="rect">
                          <a:avLst/>
                        </a:prstGeom>
                        <a:solidFill>
                          <a:srgbClr val="FFFFFF"/>
                        </a:solidFill>
                        <a:ln>
                          <a:noFill/>
                        </a:ln>
                      </wps:spPr>
                      <wps:txbx>
                        <w:txbxContent>
                          <w:p w:rsidR="00000000" w:rsidDel="00000000" w:rsidP="00000000" w:rsidRDefault="00000000" w:rsidRPr="00000000">
                            <w:pPr>
                              <w:spacing w:after="0" w:before="1.0000000149011612" w:line="275.9999942779541"/>
                              <w:ind w:left="944.0000152587891" w:right="29.000000953674316" w:firstLine="389.00001525878906"/>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t xml:space="preserve">iii.	</w:t>
                            </w:r>
                            <w:r w:rsidDel="00000000" w:rsidR="00000000" w:rsidRPr="00000000">
                              <w:rPr>
                                <w:rFonts w:ascii="Book Antiqua" w:cs="Book Antiqua" w:eastAsia="Book Antiqua" w:hAnsi="Book Antiqua"/>
                                <w:b w:val="1"/>
                                <w:i w:val="0"/>
                                <w:smallCaps w:val="0"/>
                                <w:strike w:val="0"/>
                                <w:color w:val="000000"/>
                                <w:sz w:val="24"/>
                                <w:vertAlign w:val="baseline"/>
                              </w:rPr>
                              <w:t xml:space="preserve">Appoint Commissioner Remy Ngoy Lumbu </w:t>
                            </w:r>
                            <w:r w:rsidDel="00000000" w:rsidR="00000000" w:rsidRPr="00000000">
                              <w:rPr>
                                <w:rFonts w:ascii="Book Antiqua" w:cs="Book Antiqua" w:eastAsia="Book Antiqua" w:hAnsi="Book Antiqua"/>
                                <w:b w:val="0"/>
                                <w:i w:val="0"/>
                                <w:smallCaps w:val="0"/>
                                <w:strike w:val="0"/>
                                <w:color w:val="000000"/>
                                <w:sz w:val="24"/>
                                <w:vertAlign w:val="baseline"/>
                              </w:rPr>
                              <w:t xml:space="preserve">and </w:t>
                            </w:r>
                            <w:r w:rsidDel="00000000" w:rsidR="00000000" w:rsidRPr="00000000">
                              <w:rPr>
                                <w:rFonts w:ascii="Book Antiqua" w:cs="Book Antiqua" w:eastAsia="Book Antiqua" w:hAnsi="Book Antiqua"/>
                                <w:b w:val="1"/>
                                <w:i w:val="0"/>
                                <w:smallCaps w:val="0"/>
                                <w:strike w:val="0"/>
                                <w:color w:val="000000"/>
                                <w:sz w:val="24"/>
                                <w:vertAlign w:val="baseline"/>
                              </w:rPr>
                              <w:t xml:space="preserve">Commissioner Hatem Essaiem </w:t>
                            </w:r>
                            <w:r w:rsidDel="00000000" w:rsidR="00000000" w:rsidRPr="00000000">
                              <w:rPr>
                                <w:rFonts w:ascii="Book Antiqua" w:cs="Book Antiqua" w:eastAsia="Book Antiqua" w:hAnsi="Book Antiqua"/>
                                <w:b w:val="0"/>
                                <w:i w:val="0"/>
                                <w:smallCaps w:val="0"/>
                                <w:strike w:val="0"/>
                                <w:color w:val="000000"/>
                                <w:sz w:val="24"/>
                                <w:vertAlign w:val="baseline"/>
                              </w:rPr>
                              <w:t xml:space="preserve">as members of the Committee for the same period.</w:t>
                            </w:r>
                          </w:p>
                        </w:txbxContent>
                      </wps:txbx>
                      <wps:bodyPr anchorCtr="0" anchor="t" bIns="0" lIns="0" spcFirstLastPara="1" rIns="0" wrap="square" tIns="0">
                        <a:noAutofit/>
                      </wps:bodyPr>
                    </wps:wsp>
                  </a:graphicData>
                </a:graphic>
              </wp:inline>
            </w:drawing>
          </mc:Choice>
          <mc:Fallback>
            <w:drawing>
              <wp:inline distB="0" distT="0" distL="0" distR="0">
                <wp:extent cx="5809615" cy="646569"/>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09615" cy="64656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pStyle w:val="Heading1"/>
        <w:spacing w:line="268" w:lineRule="auto"/>
        <w:ind w:firstLine="137"/>
        <w:rPr/>
      </w:pPr>
      <w:r w:rsidDel="00000000" w:rsidR="00000000" w:rsidRPr="00000000">
        <w:rPr>
          <w:rtl w:val="0"/>
        </w:rPr>
        <w:t xml:space="preserve">Done in Banjul, The Gambia, 15 November 2017</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37"/>
    </w:pPr>
    <w:rPr>
      <w:rFonts w:ascii="Book Antiqua" w:cs="Book Antiqua" w:eastAsia="Book Antiqua" w:hAnsi="Book Antiqua"/>
      <w:b w:val="1"/>
      <w:sz w:val="24"/>
      <w:szCs w:val="24"/>
    </w:rPr>
  </w:style>
  <w:style w:type="paragraph" w:styleId="Heading2">
    <w:name w:val="heading 2"/>
    <w:basedOn w:val="Normal"/>
    <w:next w:val="Normal"/>
    <w:pPr>
      <w:widowControl w:val="0"/>
      <w:spacing w:after="0" w:before="1" w:line="240" w:lineRule="auto"/>
      <w:ind w:left="137"/>
      <w:jc w:val="both"/>
    </w:pPr>
    <w:rPr>
      <w:rFonts w:ascii="Book Antiqua" w:cs="Book Antiqua" w:eastAsia="Book Antiqua" w:hAnsi="Book Antiqua"/>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1"/>
    <w:qFormat w:val="1"/>
    <w:rsid w:val="00862270"/>
    <w:pPr>
      <w:widowControl w:val="0"/>
      <w:autoSpaceDE w:val="0"/>
      <w:autoSpaceDN w:val="0"/>
      <w:adjustRightInd w:val="0"/>
      <w:spacing w:after="0" w:line="240" w:lineRule="auto"/>
      <w:ind w:left="137"/>
      <w:outlineLvl w:val="0"/>
    </w:pPr>
    <w:rPr>
      <w:rFonts w:ascii="Book Antiqua" w:cs="Book Antiqua" w:hAnsi="Book Antiqua" w:eastAsiaTheme="minorEastAsia"/>
      <w:b w:val="1"/>
      <w:bCs w:val="1"/>
      <w:sz w:val="24"/>
      <w:szCs w:val="24"/>
      <w:lang w:val="en-US"/>
    </w:rPr>
  </w:style>
  <w:style w:type="paragraph" w:styleId="Heading2">
    <w:name w:val="heading 2"/>
    <w:basedOn w:val="Normal"/>
    <w:next w:val="Normal"/>
    <w:link w:val="Heading2Char"/>
    <w:uiPriority w:val="1"/>
    <w:qFormat w:val="1"/>
    <w:rsid w:val="00862270"/>
    <w:pPr>
      <w:widowControl w:val="0"/>
      <w:autoSpaceDE w:val="0"/>
      <w:autoSpaceDN w:val="0"/>
      <w:adjustRightInd w:val="0"/>
      <w:spacing w:after="0" w:before="1" w:line="240" w:lineRule="auto"/>
      <w:ind w:left="137"/>
      <w:jc w:val="both"/>
      <w:outlineLvl w:val="1"/>
    </w:pPr>
    <w:rPr>
      <w:rFonts w:ascii="Book Antiqua" w:cs="Book Antiqua" w:hAnsi="Book Antiqua" w:eastAsiaTheme="minorEastAsia"/>
      <w:b w:val="1"/>
      <w:bCs w:val="1"/>
      <w:i w:val="1"/>
      <w:i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862270"/>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862270"/>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862270"/>
    <w:pPr>
      <w:widowControl w:val="0"/>
      <w:autoSpaceDE w:val="0"/>
      <w:autoSpaceDN w:val="0"/>
      <w:adjustRightInd w:val="0"/>
      <w:spacing w:after="0" w:line="240" w:lineRule="auto"/>
    </w:pPr>
    <w:rPr>
      <w:rFonts w:ascii="Book Antiqua" w:cs="Book Antiqua" w:hAnsi="Book Antiqua" w:eastAsiaTheme="minorEastAsia"/>
      <w:sz w:val="24"/>
      <w:szCs w:val="24"/>
      <w:lang w:val="en-US"/>
    </w:rPr>
  </w:style>
  <w:style w:type="character" w:styleId="BodyTextChar" w:customStyle="1">
    <w:name w:val="Body Text Char"/>
    <w:basedOn w:val="DefaultParagraphFont"/>
    <w:link w:val="BodyText"/>
    <w:uiPriority w:val="1"/>
    <w:rsid w:val="00862270"/>
    <w:rPr>
      <w:rFonts w:ascii="Book Antiqua" w:cs="Book Antiqua" w:hAnsi="Book Antiqua" w:eastAsiaTheme="minorEastAsia"/>
      <w:sz w:val="24"/>
      <w:szCs w:val="24"/>
      <w:lang w:val="en-US"/>
    </w:rPr>
  </w:style>
  <w:style w:type="paragraph" w:styleId="ListParagraph">
    <w:name w:val="List Paragraph"/>
    <w:basedOn w:val="Normal"/>
    <w:uiPriority w:val="1"/>
    <w:qFormat w:val="1"/>
    <w:rsid w:val="00862270"/>
    <w:pPr>
      <w:widowControl w:val="0"/>
      <w:autoSpaceDE w:val="0"/>
      <w:autoSpaceDN w:val="0"/>
      <w:adjustRightInd w:val="0"/>
      <w:spacing w:after="0" w:line="240" w:lineRule="auto"/>
      <w:ind w:left="1937" w:hanging="361"/>
    </w:pPr>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BbnRx9Ew3yhUabl/Ay7E4TM7A==">AMUW2mWjWluKH0rAjXJ/gKHnDcZIjxiExYd0INb2s3M17B8jGib2It8/Gd/6L0Tsq/lddoxKd5YF0Y10D/JZsF8WFydSVqtuIzf783GVw9AyCTTy5PJw3P4xHS91jBnS/aJBmiZjp/BB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2022-03-01T16:23:00Z</dcterms:created>
  <dc:creator>HOME</dc:creator>
</cp:coreProperties>
</file>