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96" w:lineRule="auto"/>
        <w:ind w:right="483" w:firstLine="137"/>
        <w:rPr/>
      </w:pPr>
      <w:bookmarkStart w:colFirst="0" w:colLast="0" w:name="_heading=h.gjdgxs" w:id="0"/>
      <w:bookmarkEnd w:id="0"/>
      <w:r w:rsidDel="00000000" w:rsidR="00000000" w:rsidRPr="00000000">
        <w:rPr>
          <w:rtl w:val="0"/>
        </w:rPr>
        <w:t xml:space="preserve">ACHPR/Res. 390(LXI) 2017: Resolution on the Appointment of the Chairperson, Renewal of the Mandate and Reconstitution of the Committee on Resolutions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spacing w:before="0" w:line="276" w:lineRule="auto"/>
        <w:ind w:firstLine="137"/>
        <w:jc w:val="left"/>
        <w:rPr/>
      </w:pPr>
      <w:r w:rsidDel="00000000" w:rsidR="00000000" w:rsidRPr="00000000">
        <w:rPr>
          <w:rtl w:val="0"/>
        </w:rPr>
        <w:t xml:space="preserve">The African Commission on Human and Peoples' Rights (the Commission), meeting at its 61</w:t>
      </w:r>
      <w:r w:rsidDel="00000000" w:rsidR="00000000" w:rsidRPr="00000000">
        <w:rPr>
          <w:sz w:val="26.666666666666668"/>
          <w:szCs w:val="26.666666666666668"/>
          <w:vertAlign w:val="superscript"/>
          <w:rtl w:val="0"/>
        </w:rPr>
        <w:t xml:space="preserve">st </w:t>
      </w:r>
      <w:r w:rsidDel="00000000" w:rsidR="00000000" w:rsidRPr="00000000">
        <w:rPr>
          <w:rtl w:val="0"/>
        </w:rPr>
        <w:t xml:space="preserve">Ordinary Session held from 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7" w:right="413"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Recognising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and protect human and peoples’ rights under the provisions of Article 45 of the African Charter on Human and Peoples’ Rights (African Charter);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Rule 23(1) of its Rules of Procedure which stipulates that the “Commission may create subsidiary mechanisms such as special rapporteurs, committees, and working groups”;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importance of the resolutions adopted by the Commission in taking into consideration human rights situations on the continent towards formulating guidance and recommendations on the promotion and protection of the rights guaranteed by the African Charter;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Further 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ACHPR/Res.338 (LVIII) 16 on the establishment of the Committee on Resolutions adopted at its 58</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6 to 20 April 2016 in Banjul, The Gambia;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with appreciation the work undertaken by the Committee under the leadership of Commissioner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Maya Sahli-Fadel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mc:AlternateContent>
          <mc:Choice Requires="wpg">
            <w:drawing>
              <wp:inline distB="0" distT="0" distL="0" distR="0">
                <wp:extent cx="5809615" cy="874395"/>
                <wp:effectExtent b="0" l="0" r="0" t="0"/>
                <wp:docPr id="2" name=""/>
                <a:graphic>
                  <a:graphicData uri="http://schemas.microsoft.com/office/word/2010/wordprocessingShape">
                    <wps:wsp>
                      <wps:cNvSpPr/>
                      <wps:cNvPr id="2" name="Shape 2"/>
                      <wps:spPr>
                        <a:xfrm>
                          <a:off x="2445955" y="3347565"/>
                          <a:ext cx="5800090" cy="864870"/>
                        </a:xfrm>
                        <a:prstGeom prst="rect">
                          <a:avLst/>
                        </a:prstGeom>
                        <a:solidFill>
                          <a:srgbClr val="FFFFFF"/>
                        </a:solidFill>
                        <a:ln>
                          <a:noFill/>
                        </a:ln>
                      </wps:spPr>
                      <wps:txbx>
                        <w:txbxContent>
                          <w:p w:rsidR="00000000" w:rsidDel="00000000" w:rsidP="00000000" w:rsidRDefault="00000000" w:rsidRPr="00000000">
                            <w:pPr>
                              <w:spacing w:after="0" w:before="11.000000238418579" w:line="240"/>
                              <w:ind w:left="0" w:right="0" w:firstLine="0"/>
                              <w:jc w:val="left"/>
                              <w:textDirection w:val="btLr"/>
                            </w:pPr>
                          </w:p>
                          <w:p w:rsidR="00000000" w:rsidDel="00000000" w:rsidP="00000000" w:rsidRDefault="00000000" w:rsidRPr="00000000">
                            <w:pPr>
                              <w:spacing w:after="0" w:before="0" w:line="275.9999942779541"/>
                              <w:ind w:left="3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6"/>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Noting </w:t>
                            </w:r>
                            <w:r w:rsidDel="00000000" w:rsidR="00000000" w:rsidRPr="00000000">
                              <w:rPr>
                                <w:rFonts w:ascii="Book Antiqua" w:cs="Book Antiqua" w:eastAsia="Book Antiqua" w:hAnsi="Book Antiqua"/>
                                <w:b w:val="0"/>
                                <w:i w:val="0"/>
                                <w:smallCaps w:val="0"/>
                                <w:strike w:val="0"/>
                                <w:color w:val="000000"/>
                                <w:sz w:val="24"/>
                                <w:vertAlign w:val="baseline"/>
                              </w:rPr>
                              <w:t xml:space="preserve">the reduced number of Members of the Committee with the departure of Members of the Commission whose mandate came to an end on 1 November 2017;</w:t>
                            </w:r>
                          </w:p>
                        </w:txbxContent>
                      </wps:txbx>
                      <wps:bodyPr anchorCtr="0" anchor="t" bIns="0" lIns="0" spcFirstLastPara="1" rIns="0" wrap="square" tIns="0">
                        <a:noAutofit/>
                      </wps:bodyPr>
                    </wps:wsp>
                  </a:graphicData>
                </a:graphic>
              </wp:inline>
            </w:drawing>
          </mc:Choice>
          <mc:Fallback>
            <w:drawing>
              <wp:inline distB="0" distT="0" distL="0" distR="0">
                <wp:extent cx="5809615" cy="874395"/>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09615" cy="8743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Recognising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importance of the Committee and the need to allow the Committee to continue to carry out its mandate;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137"/>
        <w:rPr/>
      </w:pPr>
      <w:r w:rsidDel="00000000" w:rsidR="00000000" w:rsidRPr="00000000">
        <w:rPr>
          <w:rtl w:val="0"/>
        </w:rPr>
        <w:t xml:space="preserve">Decides 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858"/>
        </w:tabs>
        <w:ind w:left="1217" w:right="134" w:hanging="721"/>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i.</w:t>
        <w:tab/>
        <w:tab/>
        <w:t xml:space="preserve">Appoint Commissioner Jamesina E.L. King </w:t>
      </w:r>
      <w:r w:rsidDel="00000000" w:rsidR="00000000" w:rsidRPr="00000000">
        <w:rPr>
          <w:rFonts w:ascii="Book Antiqua" w:cs="Book Antiqua" w:eastAsia="Book Antiqua" w:hAnsi="Book Antiqua"/>
          <w:sz w:val="24"/>
          <w:szCs w:val="24"/>
          <w:rtl w:val="0"/>
        </w:rPr>
        <w:t xml:space="preserve">as Chairperson of the Committee for a period of 2 years with effect from 15 November 2017;</w:t>
      </w:r>
    </w:p>
    <w:p w:rsidR="00000000" w:rsidDel="00000000" w:rsidP="00000000" w:rsidRDefault="00000000" w:rsidRPr="00000000" w14:paraId="00000014">
      <w:pPr>
        <w:tabs>
          <w:tab w:val="left" w:pos="858"/>
        </w:tabs>
        <w:spacing w:before="2" w:lineRule="auto"/>
        <w:ind w:left="1217" w:right="134" w:hanging="721"/>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ii.</w:t>
        <w:tab/>
        <w:tab/>
        <w:t xml:space="preserve">Renew </w:t>
      </w:r>
      <w:r w:rsidDel="00000000" w:rsidR="00000000" w:rsidRPr="00000000">
        <w:rPr>
          <w:rFonts w:ascii="Book Antiqua" w:cs="Book Antiqua" w:eastAsia="Book Antiqua" w:hAnsi="Book Antiqua"/>
          <w:sz w:val="24"/>
          <w:szCs w:val="24"/>
          <w:rtl w:val="0"/>
        </w:rPr>
        <w:t xml:space="preserve">the mandate of </w:t>
      </w:r>
      <w:r w:rsidDel="00000000" w:rsidR="00000000" w:rsidRPr="00000000">
        <w:rPr>
          <w:rFonts w:ascii="Book Antiqua" w:cs="Book Antiqua" w:eastAsia="Book Antiqua" w:hAnsi="Book Antiqua"/>
          <w:b w:val="1"/>
          <w:sz w:val="24"/>
          <w:szCs w:val="24"/>
          <w:rtl w:val="0"/>
        </w:rPr>
        <w:t xml:space="preserve">Commissioner Solomon Ayele Dersso </w:t>
      </w:r>
      <w:r w:rsidDel="00000000" w:rsidR="00000000" w:rsidRPr="00000000">
        <w:rPr>
          <w:rFonts w:ascii="Book Antiqua" w:cs="Book Antiqua" w:eastAsia="Book Antiqua" w:hAnsi="Book Antiqua"/>
          <w:sz w:val="24"/>
          <w:szCs w:val="24"/>
          <w:rtl w:val="0"/>
        </w:rPr>
        <w:t xml:space="preserve">as a Member of the Committee for the same period; and</w:t>
      </w:r>
    </w:p>
    <w:p w:rsidR="00000000" w:rsidDel="00000000" w:rsidP="00000000" w:rsidRDefault="00000000" w:rsidRPr="00000000" w14:paraId="00000015">
      <w:pPr>
        <w:tabs>
          <w:tab w:val="left" w:pos="858"/>
        </w:tabs>
        <w:ind w:left="1217" w:right="138" w:hanging="721"/>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iii.</w:t>
        <w:tab/>
        <w:tab/>
        <w:t xml:space="preserve">Appoint </w:t>
      </w:r>
      <w:r w:rsidDel="00000000" w:rsidR="00000000" w:rsidRPr="00000000">
        <w:rPr>
          <w:rFonts w:ascii="Book Antiqua" w:cs="Book Antiqua" w:eastAsia="Book Antiqua" w:hAnsi="Book Antiqua"/>
          <w:sz w:val="24"/>
          <w:szCs w:val="24"/>
          <w:rtl w:val="0"/>
        </w:rPr>
        <w:t xml:space="preserve">the following Commissioners as members of the Committee for the same period:</w:t>
      </w:r>
    </w:p>
    <w:p w:rsidR="00000000" w:rsidDel="00000000" w:rsidP="00000000" w:rsidRDefault="00000000" w:rsidRPr="00000000" w14:paraId="00000016">
      <w:pPr>
        <w:pStyle w:val="Heading1"/>
        <w:tabs>
          <w:tab w:val="left" w:pos="1578"/>
        </w:tabs>
        <w:ind w:left="1577" w:hanging="352"/>
        <w:rPr>
          <w:b w:val="0"/>
        </w:rPr>
      </w:pPr>
      <w:r w:rsidDel="00000000" w:rsidR="00000000" w:rsidRPr="00000000">
        <w:rPr>
          <w:b w:val="0"/>
          <w:rtl w:val="0"/>
        </w:rPr>
        <w:t xml:space="preserve">-</w:t>
        <w:tab/>
      </w:r>
      <w:r w:rsidDel="00000000" w:rsidR="00000000" w:rsidRPr="00000000">
        <w:rPr>
          <w:rtl w:val="0"/>
        </w:rPr>
        <w:t xml:space="preserve">Commissioner Hatem Essaiem</w:t>
      </w:r>
      <w:r w:rsidDel="00000000" w:rsidR="00000000" w:rsidRPr="00000000">
        <w:rPr>
          <w:b w:val="0"/>
          <w:rtl w:val="0"/>
        </w:rPr>
        <w:t xml:space="preserve">; and</w:t>
      </w:r>
    </w:p>
    <w:p w:rsidR="00000000" w:rsidDel="00000000" w:rsidP="00000000" w:rsidRDefault="00000000" w:rsidRPr="00000000" w14:paraId="00000017">
      <w:pPr>
        <w:pStyle w:val="Heading1"/>
        <w:tabs>
          <w:tab w:val="left" w:pos="1578"/>
        </w:tabs>
        <w:spacing w:before="86" w:line="525" w:lineRule="auto"/>
        <w:ind w:left="1440" w:right="3920" w:hanging="215"/>
        <w:rPr/>
      </w:pPr>
      <w:r w:rsidDel="00000000" w:rsidR="00000000" w:rsidRPr="00000000">
        <w:rPr>
          <w:b w:val="0"/>
          <w:rtl w:val="0"/>
        </w:rPr>
        <w:t xml:space="preserve">-</w:t>
        <w:tab/>
      </w:r>
      <w:r w:rsidDel="00000000" w:rsidR="00000000" w:rsidRPr="00000000">
        <w:rPr>
          <w:rtl w:val="0"/>
        </w:rPr>
        <w:t xml:space="preserve">Commissioner Rémy Ngoy Lumbu </w:t>
      </w:r>
    </w:p>
    <w:p w:rsidR="00000000" w:rsidDel="00000000" w:rsidP="00000000" w:rsidRDefault="00000000" w:rsidRPr="00000000" w14:paraId="00000018">
      <w:pPr>
        <w:pStyle w:val="Heading1"/>
        <w:tabs>
          <w:tab w:val="left" w:pos="1578"/>
        </w:tabs>
        <w:spacing w:before="86" w:line="525" w:lineRule="auto"/>
        <w:ind w:left="1440" w:right="3920" w:hanging="215"/>
        <w:rPr/>
      </w:pPr>
      <w:r w:rsidDel="00000000" w:rsidR="00000000" w:rsidRPr="00000000">
        <w:rPr>
          <w:rtl w:val="0"/>
        </w:rPr>
        <w:t xml:space="preserve">Done in Banjul, The Gambia, 15 November 2017</w:t>
      </w:r>
    </w:p>
    <w:p w:rsidR="00000000" w:rsidDel="00000000" w:rsidP="00000000" w:rsidRDefault="00000000" w:rsidRPr="00000000" w14:paraId="0000001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37"/>
    </w:pPr>
    <w:rPr>
      <w:rFonts w:ascii="Book Antiqua" w:cs="Book Antiqua" w:eastAsia="Book Antiqua" w:hAnsi="Book Antiqua"/>
      <w:b w:val="1"/>
      <w:sz w:val="24"/>
      <w:szCs w:val="24"/>
    </w:rPr>
  </w:style>
  <w:style w:type="paragraph" w:styleId="Heading2">
    <w:name w:val="heading 2"/>
    <w:basedOn w:val="Normal"/>
    <w:next w:val="Normal"/>
    <w:pPr>
      <w:widowControl w:val="0"/>
      <w:spacing w:after="0" w:before="1" w:line="240" w:lineRule="auto"/>
      <w:ind w:left="137"/>
      <w:jc w:val="both"/>
    </w:pPr>
    <w:rPr>
      <w:rFonts w:ascii="Book Antiqua" w:cs="Book Antiqua" w:eastAsia="Book Antiqua" w:hAnsi="Book Antiqua"/>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1"/>
    <w:qFormat w:val="1"/>
    <w:rsid w:val="00AF62A6"/>
    <w:pPr>
      <w:widowControl w:val="0"/>
      <w:autoSpaceDE w:val="0"/>
      <w:autoSpaceDN w:val="0"/>
      <w:adjustRightInd w:val="0"/>
      <w:spacing w:after="0" w:line="240" w:lineRule="auto"/>
      <w:ind w:left="137"/>
      <w:outlineLvl w:val="0"/>
    </w:pPr>
    <w:rPr>
      <w:rFonts w:ascii="Book Antiqua" w:cs="Book Antiqua" w:hAnsi="Book Antiqua" w:eastAsiaTheme="minorEastAsia"/>
      <w:b w:val="1"/>
      <w:bCs w:val="1"/>
      <w:sz w:val="24"/>
      <w:szCs w:val="24"/>
      <w:lang w:val="en-US"/>
    </w:rPr>
  </w:style>
  <w:style w:type="paragraph" w:styleId="Heading2">
    <w:name w:val="heading 2"/>
    <w:basedOn w:val="Normal"/>
    <w:next w:val="Normal"/>
    <w:link w:val="Heading2Char"/>
    <w:uiPriority w:val="1"/>
    <w:qFormat w:val="1"/>
    <w:rsid w:val="00AF62A6"/>
    <w:pPr>
      <w:widowControl w:val="0"/>
      <w:autoSpaceDE w:val="0"/>
      <w:autoSpaceDN w:val="0"/>
      <w:adjustRightInd w:val="0"/>
      <w:spacing w:after="0" w:before="1" w:line="240" w:lineRule="auto"/>
      <w:ind w:left="137"/>
      <w:jc w:val="both"/>
      <w:outlineLvl w:val="1"/>
    </w:pPr>
    <w:rPr>
      <w:rFonts w:ascii="Book Antiqua" w:cs="Book Antiqua" w:hAnsi="Book Antiqua" w:eastAsiaTheme="minorEastAsia"/>
      <w:b w:val="1"/>
      <w:bCs w:val="1"/>
      <w:i w:val="1"/>
      <w:iCs w:val="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AF62A6"/>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AF62A6"/>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AF62A6"/>
    <w:pPr>
      <w:widowControl w:val="0"/>
      <w:autoSpaceDE w:val="0"/>
      <w:autoSpaceDN w:val="0"/>
      <w:adjustRightInd w:val="0"/>
      <w:spacing w:after="0" w:line="240" w:lineRule="auto"/>
    </w:pPr>
    <w:rPr>
      <w:rFonts w:ascii="Book Antiqua" w:cs="Book Antiqua" w:hAnsi="Book Antiqua" w:eastAsiaTheme="minorEastAsia"/>
      <w:sz w:val="24"/>
      <w:szCs w:val="24"/>
      <w:lang w:val="en-US"/>
    </w:rPr>
  </w:style>
  <w:style w:type="character" w:styleId="BodyTextChar" w:customStyle="1">
    <w:name w:val="Body Text Char"/>
    <w:basedOn w:val="DefaultParagraphFont"/>
    <w:link w:val="BodyText"/>
    <w:uiPriority w:val="1"/>
    <w:rsid w:val="00AF62A6"/>
    <w:rPr>
      <w:rFonts w:ascii="Book Antiqua" w:cs="Book Antiqua" w:hAnsi="Book Antiqua" w:eastAsiaTheme="minorEastAsia"/>
      <w:sz w:val="24"/>
      <w:szCs w:val="24"/>
      <w:lang w:val="en-US"/>
    </w:rPr>
  </w:style>
  <w:style w:type="paragraph" w:styleId="ListParagraph">
    <w:name w:val="List Paragraph"/>
    <w:basedOn w:val="Normal"/>
    <w:uiPriority w:val="1"/>
    <w:qFormat w:val="1"/>
    <w:rsid w:val="00AF62A6"/>
    <w:pPr>
      <w:widowControl w:val="0"/>
      <w:autoSpaceDE w:val="0"/>
      <w:autoSpaceDN w:val="0"/>
      <w:adjustRightInd w:val="0"/>
      <w:spacing w:after="0" w:line="240" w:lineRule="auto"/>
      <w:ind w:left="1937" w:hanging="361"/>
    </w:pPr>
    <w:rPr>
      <w:rFonts w:ascii="Book Antiqua" w:cs="Book Antiqua" w:hAnsi="Book Antiqua" w:eastAsiaTheme="minorEastAsia"/>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CCX4ktUrld0dMVuE5rlBVqe0Q==">AMUW2mU9mNBy9a4yl4ysqY5I4ycQHpGBU44TGeU9/L5v8x846BMqE+fEiodtQHkVftNZ2DJaMh9Ef/46AyNNiaofsuvBeXKdKub3QvBY/a/A5RUFzQQT5+r8Jayck+74sao2k41efjJX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2022-03-01T16:27:00Z</dcterms:created>
  <dc:creator>HOME</dc:creator>
</cp:coreProperties>
</file>