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ACHPR/Res. 399 (LXII) 2018: RESOLUTION APPOINTING AN EXPERT MEMBER OF THE WORKING GROUP ON DEATH PENALTY AND EXTRAJUDICIAL, SUMMARY OR ARBITRARY KILLINGS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i w:val="1"/>
          <w:color w:val="000000"/>
          <w:sz w:val="24"/>
          <w:szCs w:val="24"/>
          <w:highlight w:val="white"/>
          <w:rtl w:val="0"/>
        </w:rPr>
        <w:t xml:space="preserve">The African Commission on Human and Peoples’ Rights (the Commission), meeting at its 62nd Ordinary Session held from 25 April to 9 May 2018 in Nouakchott, Mauritania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decision adopted at its 37</w:t>
      </w:r>
      <w:r w:rsidDel="00000000" w:rsidR="00000000" w:rsidRPr="00000000">
        <w:rPr>
          <w:rFonts w:ascii="Book Antiqua" w:cs="Book Antiqua" w:eastAsia="Book Antiqua" w:hAnsi="Book Antiqua"/>
          <w:color w:val="000000"/>
          <w:sz w:val="14"/>
          <w:szCs w:val="14"/>
          <w:vertAlign w:val="superscript"/>
          <w:rtl w:val="0"/>
        </w:rPr>
        <w:t xml:space="preserve">th</w:t>
      </w:r>
      <w:r w:rsidDel="00000000" w:rsidR="00000000" w:rsidRPr="00000000">
        <w:rPr>
          <w:rFonts w:ascii="Book Antiqua" w:cs="Book Antiqua" w:eastAsia="Book Antiqua" w:hAnsi="Book Antiqua"/>
          <w:color w:val="000000"/>
          <w:sz w:val="24"/>
          <w:szCs w:val="24"/>
          <w:rtl w:val="0"/>
        </w:rPr>
        <w:t xml:space="preserve"> Ordinary Session to appoint two Commissioners to work with the Special Rapporteur on Prisons and Conditions of Detention in Africa to prepare a Discussion Paper on the Question of the Death Penalty in Africa;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w:t>
      </w:r>
      <w:r w:rsidDel="00000000" w:rsidR="00000000" w:rsidRPr="00000000">
        <w:rPr>
          <w:rFonts w:ascii="Book Antiqua" w:cs="Book Antiqua" w:eastAsia="Book Antiqua" w:hAnsi="Book Antiqua"/>
          <w:color w:val="000000"/>
          <w:sz w:val="24"/>
          <w:szCs w:val="24"/>
          <w:rtl w:val="0"/>
        </w:rPr>
        <w:t xml:space="preserve"> its Resolution ACHPR/Res.79(XXXVIII) 05 on the Composition and Operationalization of the Working Group on the Death Penalty adopted at its 38</w:t>
      </w:r>
      <w:r w:rsidDel="00000000" w:rsidR="00000000" w:rsidRPr="00000000">
        <w:rPr>
          <w:rFonts w:ascii="Book Antiqua" w:cs="Book Antiqua" w:eastAsia="Book Antiqua" w:hAnsi="Book Antiqua"/>
          <w:color w:val="000000"/>
          <w:sz w:val="14"/>
          <w:szCs w:val="14"/>
          <w:vertAlign w:val="superscript"/>
          <w:rtl w:val="0"/>
        </w:rPr>
        <w:t xml:space="preserve">th</w:t>
      </w:r>
      <w:r w:rsidDel="00000000" w:rsidR="00000000" w:rsidRPr="00000000">
        <w:rPr>
          <w:rFonts w:ascii="Book Antiqua" w:cs="Book Antiqua" w:eastAsia="Book Antiqua" w:hAnsi="Book Antiqua"/>
          <w:color w:val="000000"/>
          <w:sz w:val="24"/>
          <w:szCs w:val="24"/>
          <w:rtl w:val="0"/>
        </w:rPr>
        <w:t xml:space="preserve"> Ordinary Session in order to increase the composition of the Working Group to include two members of the Commission and five independent experts and to broaden its mandate;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Resolution ACHPR/Res.113(XXXXII) 07 on the Renewal of the Mandate and the Appointment of Commissioner Kayitesi Zainabo Sylvie as Chairperson of the Working Group on the Death Penalty, adopted at the 42</w:t>
      </w:r>
      <w:r w:rsidDel="00000000" w:rsidR="00000000" w:rsidRPr="00000000">
        <w:rPr>
          <w:rFonts w:ascii="Book Antiqua" w:cs="Book Antiqua" w:eastAsia="Book Antiqua" w:hAnsi="Book Antiqua"/>
          <w:color w:val="000000"/>
          <w:sz w:val="14"/>
          <w:szCs w:val="14"/>
          <w:vertAlign w:val="superscript"/>
          <w:rtl w:val="0"/>
        </w:rPr>
        <w:t xml:space="preserve">nd</w:t>
      </w:r>
      <w:r w:rsidDel="00000000" w:rsidR="00000000" w:rsidRPr="00000000">
        <w:rPr>
          <w:rFonts w:ascii="Book Antiqua" w:cs="Book Antiqua" w:eastAsia="Book Antiqua" w:hAnsi="Book Antiqua"/>
          <w:color w:val="000000"/>
          <w:sz w:val="24"/>
          <w:szCs w:val="24"/>
          <w:rtl w:val="0"/>
        </w:rPr>
        <w:t xml:space="preserve"> Ordinary Session held from 15 to 28 November 2007 in Brazzaville, Republic of Congo;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Resolution ACHPR/Res.201 (L) 11 on the Renewal of the Mandate of the Chairperson and the Appointment of Members of the Working Group on the Death Penalty in Africa, adopted at its 50</w:t>
      </w:r>
      <w:r w:rsidDel="00000000" w:rsidR="00000000" w:rsidRPr="00000000">
        <w:rPr>
          <w:rFonts w:ascii="Book Antiqua" w:cs="Book Antiqua" w:eastAsia="Book Antiqua" w:hAnsi="Book Antiqua"/>
          <w:color w:val="000000"/>
          <w:sz w:val="14"/>
          <w:szCs w:val="14"/>
          <w:vertAlign w:val="superscript"/>
          <w:rtl w:val="0"/>
        </w:rPr>
        <w:t xml:space="preserve">th</w:t>
      </w:r>
      <w:r w:rsidDel="00000000" w:rsidR="00000000" w:rsidRPr="00000000">
        <w:rPr>
          <w:rFonts w:ascii="Book Antiqua" w:cs="Book Antiqua" w:eastAsia="Book Antiqua" w:hAnsi="Book Antiqua"/>
          <w:color w:val="000000"/>
          <w:sz w:val="24"/>
          <w:szCs w:val="24"/>
          <w:rtl w:val="0"/>
        </w:rPr>
        <w:t xml:space="preserve"> Ordinary Session held from 22 October to 5 November 2011 in Banjul, The Gambia, renewing the mandate of the Working Group for two years;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its Resolution ACHPR/Res.227 (LII) 2012 expanding the mandate of the Working Group to include extrajudicial, summary or arbitrary killings adopted at its 52</w:t>
      </w:r>
      <w:r w:rsidDel="00000000" w:rsidR="00000000" w:rsidRPr="00000000">
        <w:rPr>
          <w:rFonts w:ascii="Book Antiqua" w:cs="Book Antiqua" w:eastAsia="Book Antiqua" w:hAnsi="Book Antiqua"/>
          <w:color w:val="000000"/>
          <w:sz w:val="14"/>
          <w:szCs w:val="14"/>
          <w:vertAlign w:val="superscript"/>
          <w:rtl w:val="0"/>
        </w:rPr>
        <w:t xml:space="preserve">nd</w:t>
      </w:r>
      <w:r w:rsidDel="00000000" w:rsidR="00000000" w:rsidRPr="00000000">
        <w:rPr>
          <w:rFonts w:ascii="Book Antiqua" w:cs="Book Antiqua" w:eastAsia="Book Antiqua" w:hAnsi="Book Antiqua"/>
          <w:color w:val="000000"/>
          <w:sz w:val="24"/>
          <w:szCs w:val="24"/>
          <w:rtl w:val="0"/>
        </w:rPr>
        <w:t xml:space="preserve"> Ordinary Session held from 9 to 23 October 2012 in Yamoussoukro, Côte d’Ivoire;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w:t>
      </w:r>
      <w:r w:rsidDel="00000000" w:rsidR="00000000" w:rsidRPr="00000000">
        <w:rPr>
          <w:rFonts w:ascii="Book Antiqua" w:cs="Book Antiqua" w:eastAsia="Book Antiqua" w:hAnsi="Book Antiqua"/>
          <w:color w:val="000000"/>
          <w:sz w:val="24"/>
          <w:szCs w:val="24"/>
          <w:rtl w:val="0"/>
        </w:rPr>
        <w:t xml:space="preserve"> its Resolution ACHPR/Res.251 (LIV) 2013 on the Renewal of the Mandate of the Chairperson and Members of the Working Group on Death Penalty and Extrajudicial, Summary or Arbitrary Killings in Africa, adopted at its 54</w:t>
      </w:r>
      <w:r w:rsidDel="00000000" w:rsidR="00000000" w:rsidRPr="00000000">
        <w:rPr>
          <w:rFonts w:ascii="Book Antiqua" w:cs="Book Antiqua" w:eastAsia="Book Antiqua" w:hAnsi="Book Antiqua"/>
          <w:color w:val="000000"/>
          <w:sz w:val="14"/>
          <w:szCs w:val="14"/>
          <w:vertAlign w:val="superscript"/>
          <w:rtl w:val="0"/>
        </w:rPr>
        <w:t xml:space="preserve">th</w:t>
      </w:r>
      <w:r w:rsidDel="00000000" w:rsidR="00000000" w:rsidRPr="00000000">
        <w:rPr>
          <w:rFonts w:ascii="Book Antiqua" w:cs="Book Antiqua" w:eastAsia="Book Antiqua" w:hAnsi="Book Antiqua"/>
          <w:color w:val="000000"/>
          <w:sz w:val="24"/>
          <w:szCs w:val="24"/>
          <w:rtl w:val="0"/>
        </w:rPr>
        <w:t xml:space="preserve"> Ordinary Session held from 9 to 22 October 2013 in Banjul, The Gambia, renewing the mandate of the Working Group for two years;</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Resolution ACHPR/Res.317 (LVII) 2015 on the Renewal of the Mandate of the Chairperson and the Members of the Working Group on the Death Penalty in Africa, adopted at its 57</w:t>
      </w:r>
      <w:r w:rsidDel="00000000" w:rsidR="00000000" w:rsidRPr="00000000">
        <w:rPr>
          <w:rFonts w:ascii="Book Antiqua" w:cs="Book Antiqua" w:eastAsia="Book Antiqua" w:hAnsi="Book Antiqua"/>
          <w:color w:val="000000"/>
          <w:sz w:val="14"/>
          <w:szCs w:val="14"/>
          <w:vertAlign w:val="superscript"/>
          <w:rtl w:val="0"/>
        </w:rPr>
        <w:t xml:space="preserve">th</w:t>
      </w:r>
      <w:r w:rsidDel="00000000" w:rsidR="00000000" w:rsidRPr="00000000">
        <w:rPr>
          <w:rFonts w:ascii="Book Antiqua" w:cs="Book Antiqua" w:eastAsia="Book Antiqua" w:hAnsi="Book Antiqua"/>
          <w:color w:val="000000"/>
          <w:sz w:val="24"/>
          <w:szCs w:val="24"/>
          <w:rtl w:val="0"/>
        </w:rPr>
        <w:t xml:space="preserve"> Ordinary Session held from 4 to 18 November 2015 in Banjul, The Gambia, renewing the mandate of the Working Group for two years; </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Resolution ACHPR/Res.384 (LX) 2017 on the Renewal of the Mandate and Reconstitution of the Working Group on the Death Penalty in Africa, adopted at its 61</w:t>
      </w:r>
      <w:r w:rsidDel="00000000" w:rsidR="00000000" w:rsidRPr="00000000">
        <w:rPr>
          <w:rFonts w:ascii="Book Antiqua" w:cs="Book Antiqua" w:eastAsia="Book Antiqua" w:hAnsi="Book Antiqua"/>
          <w:color w:val="000000"/>
          <w:sz w:val="14"/>
          <w:szCs w:val="14"/>
          <w:vertAlign w:val="superscript"/>
          <w:rtl w:val="0"/>
        </w:rPr>
        <w:t xml:space="preserve">st</w:t>
      </w:r>
      <w:r w:rsidDel="00000000" w:rsidR="00000000" w:rsidRPr="00000000">
        <w:rPr>
          <w:rFonts w:ascii="Book Antiqua" w:cs="Book Antiqua" w:eastAsia="Book Antiqua" w:hAnsi="Book Antiqua"/>
          <w:color w:val="000000"/>
          <w:sz w:val="24"/>
          <w:szCs w:val="24"/>
          <w:rtl w:val="0"/>
        </w:rPr>
        <w:t xml:space="preserve"> Ordinary Session held from 1 to 15 November 2017 in Banjul, The Gambia, renewing the mandate and reconstituting the membership of the Working Group for two years;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w:t>
      </w:r>
      <w:r w:rsidDel="00000000" w:rsidR="00000000" w:rsidRPr="00000000">
        <w:rPr>
          <w:rFonts w:ascii="Book Antiqua" w:cs="Book Antiqua" w:eastAsia="Book Antiqua" w:hAnsi="Book Antiqua"/>
          <w:color w:val="000000"/>
          <w:sz w:val="24"/>
          <w:szCs w:val="24"/>
          <w:rtl w:val="0"/>
        </w:rPr>
        <w:t xml:space="preserve"> the reduced number of members of the Working Group following the expiry of the mandate of the expert member representing the North of Africa since November 2017; </w:t>
      </w: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w:t>
      </w:r>
      <w:r w:rsidDel="00000000" w:rsidR="00000000" w:rsidRPr="00000000">
        <w:rPr>
          <w:rFonts w:ascii="Book Antiqua" w:cs="Book Antiqua" w:eastAsia="Book Antiqua" w:hAnsi="Book Antiqua"/>
          <w:b w:val="1"/>
          <w:i w:val="1"/>
          <w:color w:val="000000"/>
          <w:sz w:val="24"/>
          <w:szCs w:val="24"/>
          <w:rtl w:val="0"/>
        </w:rPr>
        <w:t xml:space="preserve">onscious</w:t>
      </w:r>
      <w:r w:rsidDel="00000000" w:rsidR="00000000" w:rsidRPr="00000000">
        <w:rPr>
          <w:rFonts w:ascii="Book Antiqua" w:cs="Book Antiqua" w:eastAsia="Book Antiqua" w:hAnsi="Book Antiqua"/>
          <w:color w:val="000000"/>
          <w:sz w:val="24"/>
          <w:szCs w:val="24"/>
          <w:rtl w:val="0"/>
        </w:rPr>
        <w:t xml:space="preserve"> of the need to appoint a new member for the North Africa region to facilitate effective continuation of the important work of the Working Group; </w:t>
      </w: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1"/>
        </w:numPr>
        <w:shd w:fill="ffffff" w:val="clear"/>
        <w:spacing w:after="0" w:line="240" w:lineRule="auto"/>
        <w:ind w:left="1440" w:hanging="360"/>
        <w:jc w:val="both"/>
        <w:rPr>
          <w:rFonts w:ascii="Book Antiqua" w:cs="Book Antiqua" w:eastAsia="Book Antiqua" w:hAnsi="Book Antiqua"/>
          <w:color w:val="000000"/>
          <w:sz w:val="24"/>
          <w:szCs w:val="24"/>
          <w:u w:val="none"/>
        </w:rPr>
      </w:pPr>
      <w:r w:rsidDel="00000000" w:rsidR="00000000" w:rsidRPr="00000000">
        <w:rPr>
          <w:rFonts w:ascii="Book Antiqua" w:cs="Book Antiqua" w:eastAsia="Book Antiqua" w:hAnsi="Book Antiqua"/>
          <w:b w:val="1"/>
          <w:i w:val="1"/>
          <w:color w:val="000000"/>
          <w:sz w:val="24"/>
          <w:szCs w:val="24"/>
          <w:rtl w:val="0"/>
        </w:rPr>
        <w:t xml:space="preserve">Decides</w:t>
      </w:r>
      <w:r w:rsidDel="00000000" w:rsidR="00000000" w:rsidRPr="00000000">
        <w:rPr>
          <w:rFonts w:ascii="Book Antiqua" w:cs="Book Antiqua" w:eastAsia="Book Antiqua" w:hAnsi="Book Antiqua"/>
          <w:color w:val="000000"/>
          <w:sz w:val="24"/>
          <w:szCs w:val="24"/>
          <w:rtl w:val="0"/>
        </w:rPr>
        <w:t xml:space="preserve"> to appoint </w:t>
      </w:r>
      <w:r w:rsidDel="00000000" w:rsidR="00000000" w:rsidRPr="00000000">
        <w:rPr>
          <w:rFonts w:ascii="Book Antiqua" w:cs="Book Antiqua" w:eastAsia="Book Antiqua" w:hAnsi="Book Antiqua"/>
          <w:b w:val="1"/>
          <w:color w:val="000000"/>
          <w:sz w:val="24"/>
          <w:szCs w:val="24"/>
          <w:rtl w:val="0"/>
        </w:rPr>
        <w:t xml:space="preserve">Ms. Samia Bourouba</w:t>
      </w:r>
      <w:r w:rsidDel="00000000" w:rsidR="00000000" w:rsidRPr="00000000">
        <w:rPr>
          <w:rFonts w:ascii="Book Antiqua" w:cs="Book Antiqua" w:eastAsia="Book Antiqua" w:hAnsi="Book Antiqua"/>
          <w:color w:val="000000"/>
          <w:sz w:val="24"/>
          <w:szCs w:val="24"/>
          <w:rtl w:val="0"/>
        </w:rPr>
        <w:t xml:space="preserve"> as expert member of the Working Group for a period of two years, representing the North Africa region;</w:t>
      </w:r>
      <w:r w:rsidDel="00000000" w:rsidR="00000000" w:rsidRPr="00000000">
        <w:rPr>
          <w:rtl w:val="0"/>
        </w:rPr>
      </w:r>
    </w:p>
    <w:p w:rsidR="00000000" w:rsidDel="00000000" w:rsidP="00000000" w:rsidRDefault="00000000" w:rsidRPr="00000000" w14:paraId="0000001C">
      <w:pPr>
        <w:numPr>
          <w:ilvl w:val="0"/>
          <w:numId w:val="1"/>
        </w:numPr>
        <w:shd w:fill="ffffff" w:val="clear"/>
        <w:spacing w:after="0" w:line="240" w:lineRule="auto"/>
        <w:ind w:left="1440" w:hanging="360"/>
        <w:jc w:val="both"/>
        <w:rPr>
          <w:rFonts w:ascii="Book Antiqua" w:cs="Book Antiqua" w:eastAsia="Book Antiqua" w:hAnsi="Book Antiqua"/>
          <w:color w:val="000000"/>
          <w:sz w:val="24"/>
          <w:szCs w:val="24"/>
          <w:u w:val="none"/>
        </w:rPr>
      </w:pPr>
      <w:r w:rsidDel="00000000" w:rsidR="00000000" w:rsidRPr="00000000">
        <w:rPr>
          <w:rFonts w:ascii="Book Antiqua" w:cs="Book Antiqua" w:eastAsia="Book Antiqua" w:hAnsi="Book Antiqua"/>
          <w:b w:val="1"/>
          <w:i w:val="1"/>
          <w:color w:val="000000"/>
          <w:sz w:val="24"/>
          <w:szCs w:val="24"/>
          <w:rtl w:val="0"/>
        </w:rPr>
        <w:t xml:space="preserve">Calls upon</w:t>
      </w:r>
      <w:r w:rsidDel="00000000" w:rsidR="00000000" w:rsidRPr="00000000">
        <w:rPr>
          <w:rFonts w:ascii="Book Antiqua" w:cs="Book Antiqua" w:eastAsia="Book Antiqua" w:hAnsi="Book Antiqua"/>
          <w:color w:val="000000"/>
          <w:sz w:val="24"/>
          <w:szCs w:val="24"/>
          <w:rtl w:val="0"/>
        </w:rPr>
        <w:t xml:space="preserve"> the African Union and stakeholders to continue to assist the Working Group in the implementation of its mandate. </w:t>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Adopted at the 62</w:t>
      </w:r>
      <w:r w:rsidDel="00000000" w:rsidR="00000000" w:rsidRPr="00000000">
        <w:rPr>
          <w:rFonts w:ascii="Book Antiqua" w:cs="Book Antiqua" w:eastAsia="Book Antiqua" w:hAnsi="Book Antiqua"/>
          <w:b w:val="1"/>
          <w:color w:val="000000"/>
          <w:sz w:val="14"/>
          <w:szCs w:val="14"/>
          <w:vertAlign w:val="superscript"/>
          <w:rtl w:val="0"/>
        </w:rPr>
        <w:t xml:space="preserve">nd</w:t>
      </w:r>
      <w:r w:rsidDel="00000000" w:rsidR="00000000" w:rsidRPr="00000000">
        <w:rPr>
          <w:rFonts w:ascii="Book Antiqua" w:cs="Book Antiqua" w:eastAsia="Book Antiqua" w:hAnsi="Book Antiqua"/>
          <w:b w:val="1"/>
          <w:color w:val="000000"/>
          <w:sz w:val="24"/>
          <w:szCs w:val="24"/>
          <w:rtl w:val="0"/>
        </w:rPr>
        <w:t xml:space="preserve"> Ordinary Session of the African Commission on Human and Peoples’ Rights held from 25 April to 9 May 2018 in Nouakchott, Mauritania</w:t>
      </w:r>
      <w:r w:rsidDel="00000000" w:rsidR="00000000" w:rsidRPr="00000000">
        <w:rPr>
          <w:rtl w:val="0"/>
        </w:rPr>
      </w:r>
    </w:p>
    <w:p w:rsidR="00000000" w:rsidDel="00000000" w:rsidP="00000000" w:rsidRDefault="00000000" w:rsidRPr="00000000" w14:paraId="0000001F">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83qq6PQVNP/w3/OVgd1OCkWeAQ==">AMUW2mVtZcwM0eU5DEGEpxI5zf7UJs5PgNFF1M155XF9fnvf535KVT+H2/ihRXwLddkWftTZkGqh5IDDZts/qzRGtaUhOc2PskDeVetHrdfZDJLJNavUTQTnPcrjn2IFjAgjTDH//RMG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2021-10-25T16:51:00Z</dcterms:created>
  <dc:creator>Microsoft account</dc:creator>
</cp:coreProperties>
</file>