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85" w:rsidRPr="00306B85" w:rsidRDefault="00306B85" w:rsidP="00306B8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Soudan - CADHP/</w:t>
      </w:r>
      <w:proofErr w:type="spellStart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06B8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421 (LXIV) 2019</w:t>
      </w:r>
    </w:p>
    <w:p w:rsidR="0028220D" w:rsidRPr="00306B85" w:rsidRDefault="00306B8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06B85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306B85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</w:p>
    <w:p w:rsidR="00306B85" w:rsidRPr="00306B85" w:rsidRDefault="00306B8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</w:t>
      </w:r>
      <w:r w:rsidRPr="00306B85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</w:t>
      </w:r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des obligations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Soudan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qu’État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(UA)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comprennent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la promotion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institutions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que la participation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la bonne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>la R2solution CADHP/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. 413 (EXT.OS/XXV) 2019 sur la situation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Soudan, adoptee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25</w:t>
      </w:r>
      <w:r w:rsidRPr="00306B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Session extraordinaire tenue du 19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au 5 mars 2019 à Banjul,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306B8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11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2019 sur la situation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Soudan 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Communiqué PSC/PR/COMM.(DCCCXL)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15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2019, et le Communiqué PSC/PR/COMM.(DCCCXLVI) du 30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2019, sur la situation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Souda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11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2019 du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celle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1</w:t>
      </w:r>
      <w:r w:rsidRPr="00306B85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2019 sur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l’envoi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au Soudan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d’appui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entre les parties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soudanaises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Articles 3, 4, 5, 6, 7, 9, 11, 13, 16 et 19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protection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vie, le droit de ne pas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la torture,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individuelle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à la protection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l’arrestation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à un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recevoir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au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pouvant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atteint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le droit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les aspirations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soudanais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l’ouverture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espace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d’institutions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représentatives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respectueuses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négociations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d’un accord sur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les structures et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calendriers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Autorité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dirigée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par des civils qui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mènera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la tenue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Préoccupée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la force par des agents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1.    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Transition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du Soudan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à :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>.     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pays,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choisis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13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ii.     respecter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défendre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de ne pas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la torture et aux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 droit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régulière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pendant et après la transition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Autorité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dirigée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Civils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Fonts w:asciiTheme="minorHAnsi" w:hAnsiTheme="minorHAnsi" w:cstheme="minorHAnsi"/>
          <w:color w:val="53575A"/>
          <w:sz w:val="23"/>
          <w:szCs w:val="23"/>
        </w:rPr>
        <w:t>iii.   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d’user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force excessive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et,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sûreté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population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Fonts w:asciiTheme="minorHAnsi" w:hAnsiTheme="minorHAnsi" w:cstheme="minorHAnsi"/>
          <w:color w:val="53575A"/>
          <w:sz w:val="23"/>
          <w:szCs w:val="23"/>
        </w:rPr>
        <w:t>iv.  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rapidement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présumées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agents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Fonts w:asciiTheme="minorHAnsi" w:hAnsiTheme="minorHAnsi" w:cstheme="minorHAnsi"/>
          <w:color w:val="53575A"/>
          <w:sz w:val="23"/>
          <w:szCs w:val="23"/>
        </w:rPr>
        <w:t>v.   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violations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obtiennent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la restitution,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l’indemnisation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réhabilitation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la satisfaction et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répétition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2.        </w:t>
      </w:r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Encourage</w:t>
      </w:r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 les parties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soudanaises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 dialogue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place, sans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l’Autorité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dirigée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gram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Civils ;</w:t>
      </w:r>
      <w:proofErr w:type="gramEnd"/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3.      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les militants et la population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, à accorder la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priorité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au dialogue et à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d’incitation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06B85">
        <w:rPr>
          <w:rFonts w:asciiTheme="minorHAnsi" w:hAnsiTheme="minorHAnsi" w:cstheme="minorHAnsi"/>
          <w:color w:val="53575A"/>
          <w:sz w:val="23"/>
          <w:szCs w:val="23"/>
        </w:rPr>
        <w:t>d’actes</w:t>
      </w:r>
      <w:proofErr w:type="spellEnd"/>
      <w:r w:rsidRPr="00306B85">
        <w:rPr>
          <w:rFonts w:asciiTheme="minorHAnsi" w:hAnsiTheme="minorHAnsi" w:cstheme="minorHAnsi"/>
          <w:color w:val="53575A"/>
          <w:sz w:val="23"/>
          <w:szCs w:val="23"/>
        </w:rPr>
        <w:t xml:space="preserve"> de violence.</w:t>
      </w:r>
    </w:p>
    <w:p w:rsidR="00306B85" w:rsidRPr="00306B85" w:rsidRDefault="00306B85" w:rsidP="00306B8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le 14 </w:t>
      </w:r>
      <w:proofErr w:type="spellStart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06B8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d’Égypte</w:t>
      </w:r>
      <w:proofErr w:type="spellEnd"/>
    </w:p>
    <w:p w:rsidR="00306B85" w:rsidRDefault="00306B85"/>
    <w:sectPr w:rsidR="0030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85"/>
    <w:rsid w:val="0028220D"/>
    <w:rsid w:val="003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B1F7B"/>
  <w15:chartTrackingRefBased/>
  <w15:docId w15:val="{FA591FF4-0BD4-4E60-A0A5-44E1B18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B8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0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06B85"/>
    <w:rPr>
      <w:i/>
      <w:iCs/>
    </w:rPr>
  </w:style>
  <w:style w:type="character" w:styleId="Strong">
    <w:name w:val="Strong"/>
    <w:basedOn w:val="DefaultParagraphFont"/>
    <w:uiPriority w:val="22"/>
    <w:qFormat/>
    <w:rsid w:val="00306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2023-06-15T09:33:00Z</dcterms:created>
  <dcterms:modified xsi:type="dcterms:W3CDTF">2023-06-15T09:34:00Z</dcterms:modified>
</cp:coreProperties>
</file>