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46" w:rsidRPr="00956146" w:rsidRDefault="00956146" w:rsidP="00956146">
      <w:pPr>
        <w:pStyle w:val="Heading1"/>
        <w:shd w:val="clear" w:color="auto" w:fill="FFFFFF"/>
        <w:spacing w:before="0" w:beforeAutospacing="0" w:after="150" w:afterAutospacing="0"/>
        <w:rPr>
          <w:rFonts w:ascii="Univers LT Std" w:hAnsi="Univers LT Std"/>
          <w:b w:val="0"/>
          <w:bCs w:val="0"/>
          <w:color w:val="111111"/>
          <w:spacing w:val="15"/>
          <w:sz w:val="51"/>
          <w:szCs w:val="51"/>
        </w:rPr>
      </w:pPr>
      <w:proofErr w:type="spellStart"/>
      <w:r w:rsidRPr="00956146">
        <w:rPr>
          <w:rFonts w:asciiTheme="minorHAnsi" w:hAnsiTheme="minorHAnsi" w:cstheme="minorHAnsi"/>
          <w:sz w:val="28"/>
          <w:szCs w:val="28"/>
        </w:rPr>
        <w:t>Résolution</w:t>
      </w:r>
      <w:proofErr w:type="spellEnd"/>
      <w:r w:rsidRPr="00956146">
        <w:rPr>
          <w:rFonts w:asciiTheme="minorHAnsi" w:hAnsiTheme="minorHAnsi" w:cstheme="minorHAnsi"/>
          <w:sz w:val="28"/>
          <w:szCs w:val="28"/>
        </w:rPr>
        <w:t xml:space="preserve"> sur le </w:t>
      </w:r>
      <w:proofErr w:type="spellStart"/>
      <w:r w:rsidRPr="00956146">
        <w:rPr>
          <w:rFonts w:asciiTheme="minorHAnsi" w:hAnsiTheme="minorHAnsi" w:cstheme="minorHAnsi"/>
          <w:sz w:val="28"/>
          <w:szCs w:val="28"/>
        </w:rPr>
        <w:t>renouvellement</w:t>
      </w:r>
      <w:proofErr w:type="spellEnd"/>
      <w:r w:rsidRPr="00956146">
        <w:rPr>
          <w:rFonts w:asciiTheme="minorHAnsi" w:hAnsiTheme="minorHAnsi" w:cstheme="minorHAnsi"/>
          <w:sz w:val="28"/>
          <w:szCs w:val="28"/>
        </w:rPr>
        <w:t xml:space="preserve"> du </w:t>
      </w:r>
      <w:proofErr w:type="spellStart"/>
      <w:r w:rsidRPr="00956146">
        <w:rPr>
          <w:rFonts w:asciiTheme="minorHAnsi" w:hAnsiTheme="minorHAnsi" w:cstheme="minorHAnsi"/>
          <w:sz w:val="28"/>
          <w:szCs w:val="28"/>
        </w:rPr>
        <w:t>mandat</w:t>
      </w:r>
      <w:proofErr w:type="spellEnd"/>
      <w:r w:rsidRPr="00956146">
        <w:rPr>
          <w:rFonts w:asciiTheme="minorHAnsi" w:hAnsiTheme="minorHAnsi" w:cstheme="minorHAnsi"/>
          <w:sz w:val="28"/>
          <w:szCs w:val="28"/>
        </w:rPr>
        <w:t xml:space="preserve">, la nomination du </w:t>
      </w:r>
      <w:proofErr w:type="spellStart"/>
      <w:r w:rsidRPr="00956146">
        <w:rPr>
          <w:rFonts w:asciiTheme="minorHAnsi" w:hAnsiTheme="minorHAnsi" w:cstheme="minorHAnsi"/>
          <w:sz w:val="28"/>
          <w:szCs w:val="28"/>
        </w:rPr>
        <w:t>président</w:t>
      </w:r>
      <w:proofErr w:type="spellEnd"/>
      <w:r w:rsidRPr="00956146">
        <w:rPr>
          <w:rFonts w:asciiTheme="minorHAnsi" w:hAnsiTheme="minorHAnsi" w:cstheme="minorHAnsi"/>
          <w:sz w:val="28"/>
          <w:szCs w:val="28"/>
        </w:rPr>
        <w:t xml:space="preserve"> et le </w:t>
      </w:r>
      <w:proofErr w:type="spellStart"/>
      <w:r w:rsidRPr="00956146">
        <w:rPr>
          <w:rFonts w:asciiTheme="minorHAnsi" w:hAnsiTheme="minorHAnsi" w:cstheme="minorHAnsi"/>
          <w:sz w:val="28"/>
          <w:szCs w:val="28"/>
        </w:rPr>
        <w:t>renouvellement</w:t>
      </w:r>
      <w:proofErr w:type="spellEnd"/>
      <w:r w:rsidRPr="00956146">
        <w:rPr>
          <w:rFonts w:asciiTheme="minorHAnsi" w:hAnsiTheme="minorHAnsi" w:cstheme="minorHAnsi"/>
          <w:sz w:val="28"/>
          <w:szCs w:val="28"/>
        </w:rPr>
        <w:t xml:space="preserve"> du </w:t>
      </w:r>
      <w:proofErr w:type="spellStart"/>
      <w:r w:rsidRPr="00956146">
        <w:rPr>
          <w:rFonts w:asciiTheme="minorHAnsi" w:hAnsiTheme="minorHAnsi" w:cstheme="minorHAnsi"/>
          <w:sz w:val="28"/>
          <w:szCs w:val="28"/>
        </w:rPr>
        <w:t>groupe</w:t>
      </w:r>
      <w:proofErr w:type="spellEnd"/>
      <w:r w:rsidRPr="00956146">
        <w:rPr>
          <w:rFonts w:asciiTheme="minorHAnsi" w:hAnsiTheme="minorHAnsi" w:cstheme="minorHAnsi"/>
          <w:sz w:val="28"/>
          <w:szCs w:val="28"/>
        </w:rPr>
        <w:t xml:space="preserve"> de travail sur les </w:t>
      </w:r>
      <w:proofErr w:type="gramStart"/>
      <w:r w:rsidRPr="00956146">
        <w:rPr>
          <w:rFonts w:asciiTheme="minorHAnsi" w:hAnsiTheme="minorHAnsi" w:cstheme="minorHAnsi"/>
          <w:sz w:val="28"/>
          <w:szCs w:val="28"/>
        </w:rPr>
        <w:t>communications  -</w:t>
      </w:r>
      <w:proofErr w:type="gramEnd"/>
      <w:r w:rsidRPr="00956146">
        <w:rPr>
          <w:rFonts w:asciiTheme="minorHAnsi" w:hAnsiTheme="minorHAnsi" w:cstheme="minorHAnsi"/>
          <w:sz w:val="28"/>
          <w:szCs w:val="28"/>
        </w:rPr>
        <w:t xml:space="preserve"> CADHP / </w:t>
      </w:r>
      <w:proofErr w:type="spellStart"/>
      <w:r w:rsidRPr="00956146">
        <w:rPr>
          <w:rFonts w:asciiTheme="minorHAnsi" w:hAnsiTheme="minorHAnsi" w:cstheme="minorHAnsi"/>
          <w:sz w:val="28"/>
          <w:szCs w:val="28"/>
        </w:rPr>
        <w:t>Rés</w:t>
      </w:r>
      <w:proofErr w:type="spellEnd"/>
      <w:r w:rsidRPr="00956146">
        <w:rPr>
          <w:rFonts w:asciiTheme="minorHAnsi" w:hAnsiTheme="minorHAnsi" w:cstheme="minorHAnsi"/>
          <w:sz w:val="28"/>
          <w:szCs w:val="28"/>
        </w:rPr>
        <w:t>. 462 (LXVI) 2020</w:t>
      </w:r>
    </w:p>
    <w:p w:rsidR="00DC7D38" w:rsidRPr="00956146" w:rsidRDefault="00DC7D38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956146" w:rsidRPr="00956146" w:rsidRDefault="0095614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956146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956146" w:rsidRPr="00956146" w:rsidRDefault="00956146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956146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95614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qui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implique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Communications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alléguant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des droits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introduites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articles 47 et 55 de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CADHP/Rés.194 (L) 11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50</w:t>
      </w:r>
      <w:r w:rsidRPr="0095614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(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 et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désignation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CADHP/Rés.212 (EXT.OS/XI) 2012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définissant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</w:t>
      </w:r>
      <w:r w:rsidRPr="0095614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21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95614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mars 2012 à Banjul,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CADHP/Rés.255 (LII) 2012 sur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l’extension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modification de la composition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52</w:t>
      </w:r>
      <w:r w:rsidRPr="0095614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9 au 22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 à Yamoussoukro,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Côte </w:t>
      </w:r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d’Ivoire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CADHP/Rés.255 (LIV) 2013 et CADHP/Rés.314 (LVII) 2015 sur le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385(LXI) 2017 sur le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Recomposition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CADHP/Rés.425 (LXV) 2019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(6)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10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2019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 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sous la direction de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Lucy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Asuagbor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(POS) relatives à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95614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19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Notant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particulier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orientations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fournies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POS sur les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rôles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composition, la nomination,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Experts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 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95614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95614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956146" w:rsidRPr="00956146" w:rsidRDefault="00956146" w:rsidP="0095614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la 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Sylvie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95614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</w:p>
    <w:p w:rsidR="00956146" w:rsidRPr="00956146" w:rsidRDefault="00956146" w:rsidP="0095614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, la 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956146" w:rsidRPr="00956146" w:rsidRDefault="00956146" w:rsidP="0095614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 pour la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 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 et </w:t>
      </w:r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Maria Teresa Manuela</w:t>
      </w: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travail.</w:t>
      </w:r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614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56146" w:rsidRPr="00956146" w:rsidRDefault="00956146" w:rsidP="0095614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95614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956146" w:rsidRDefault="00956146"/>
    <w:sectPr w:rsidR="0095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314"/>
    <w:multiLevelType w:val="multilevel"/>
    <w:tmpl w:val="3676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46"/>
    <w:rsid w:val="00956146"/>
    <w:rsid w:val="00D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E746C1"/>
  <w15:chartTrackingRefBased/>
  <w15:docId w15:val="{F0D6A02E-9EA9-4AFB-8085-4DDE830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56146"/>
    <w:rPr>
      <w:b/>
      <w:bCs/>
    </w:rPr>
  </w:style>
  <w:style w:type="character" w:styleId="Emphasis">
    <w:name w:val="Emphasis"/>
    <w:basedOn w:val="DefaultParagraphFont"/>
    <w:uiPriority w:val="20"/>
    <w:qFormat/>
    <w:rsid w:val="009561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5614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2023-06-20T14:20:00Z</dcterms:created>
  <dcterms:modified xsi:type="dcterms:W3CDTF">2023-06-20T14:22:00Z</dcterms:modified>
</cp:coreProperties>
</file>