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4C" w:rsidRPr="00B47C4C" w:rsidRDefault="00B47C4C" w:rsidP="00B47C4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les conditions de </w:t>
      </w:r>
      <w:proofErr w:type="spellStart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47C4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</w:p>
    <w:bookmarkEnd w:id="0"/>
    <w:p w:rsidR="00645EB3" w:rsidRPr="00B47C4C" w:rsidRDefault="00B47C4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B47C4C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B47C4C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B47C4C" w:rsidRPr="00B47C4C" w:rsidRDefault="00B47C4C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67</w:t>
      </w:r>
      <w:r w:rsidRPr="00B47C4C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13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03 </w:t>
      </w:r>
      <w:proofErr w:type="spell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47C4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2020 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: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respecter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6, sur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Kampala sur les conditions de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1996, les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relatives à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de 2002 (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Robben Island, la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Ouagadougou pour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pénitentiaire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2003, les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2014, et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l'Ensemble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minima pour le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Nelson Mandela) de 2015 ;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CADHP/Res.19 (XVII) 95 sur les prisons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CADHP/Res.64 (XXXIV)03 relative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Plan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Ouagadougou pour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l’accélération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pénitentiaires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CADHP/Res. 449 (LXVI) 2020 sur les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pilier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central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la COVID-19 et du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relèvement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 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impacts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sociopolitiques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 le Communiqué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du 28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2020 sur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du coronavirus ; le Communiqué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du 24 mars 2020 sur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face au nouveau virus COVID-19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  ;  le Communiqué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sur la remise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pendant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COVID-19 du 17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2020 ; et divers instruments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des droits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 fait que les conditions des prisons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caractérisent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par de graves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insuffisances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élevés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surpopulation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mauvaises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conditions de santé physique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d’hygiène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programmes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loisirs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de formation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professionnelle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réadaptation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pourcentage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 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 fait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qu'en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raison de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COVID 19,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courent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un plus grand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contracter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 coronavirus, avec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possibilité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limitée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contenir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propagation,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principalement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raison du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surpeuplement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prisons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qui rend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distanciation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l'auto-isolement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quasi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impossibles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conditions,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plus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l'insuffisance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services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d'hygiène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santé, entre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note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des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immédiates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remise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pendant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COVID-19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réduire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propagation du coronavirus,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décongestionnant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prisons ; la suspension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audiences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la suspension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visites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prisons, la prise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sanitaires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contenir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propagation du coronavirus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stérilisation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désinfection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prisons ; 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satisfaction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indication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l'attachement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desdits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parties aux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idéaux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respectant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appliquant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précaution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la santé pour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tenter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COVID </w:t>
      </w:r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19 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prisonnières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enceintes et/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mères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car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observé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plupart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pays,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riposte et de confinement prises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établissements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aggravé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davantage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tenant pas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r w:rsidRPr="00B47C4C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d'améliorer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conditions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prisons,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engage les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à  la</w:t>
      </w:r>
      <w:proofErr w:type="gram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: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S'inspirer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adoptant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tour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réduire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surpopulation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prisons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condamnés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   pour des infractions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un programme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réinsertion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présentant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limité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les femmes enceintes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santé sous-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jacents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d'opinion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les  sans-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papiers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réduire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surpopulation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carcérale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d'endiguer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la propagation du coronavirus ;   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3.    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jugée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prisons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pour :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.   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>, 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ii.    assurer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alimentation, des services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adéquats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oeuvre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d'hygiène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quarantaine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conditions de vie et de santé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décentes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iii.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restriction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imposée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discriminatoire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plutôt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proportionnée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limitée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 temps et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transparente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47C4C">
        <w:rPr>
          <w:rFonts w:asciiTheme="minorHAnsi" w:hAnsiTheme="minorHAnsi" w:cstheme="minorHAnsi"/>
          <w:color w:val="53575A"/>
          <w:sz w:val="23"/>
          <w:szCs w:val="23"/>
        </w:rPr>
        <w:t>   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iv.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que les femmes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quelle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situation,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indiqués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conditions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v.  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oeuvre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émeutes et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prisons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centres de </w:t>
      </w:r>
      <w:proofErr w:type="spellStart"/>
      <w:proofErr w:type="gram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4.     Respecter les droits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adhérant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tout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se conformant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l'Ensemble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minima pour le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(les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Nelson Mandela), aux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Luanda), aux directives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lastRenderedPageBreak/>
        <w:t>l'Organisation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la santé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intitulées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« 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Préparation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prévention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contrôle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la COVID-19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les prisons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- Orientations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provisoires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 »,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qu'aux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àla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protection des droits de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47C4C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B47C4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47C4C" w:rsidRPr="00B47C4C" w:rsidRDefault="00B47C4C" w:rsidP="00B47C4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03 </w:t>
      </w:r>
      <w:proofErr w:type="spellStart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47C4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B47C4C" w:rsidRDefault="00B47C4C"/>
    <w:sectPr w:rsidR="00B4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C"/>
    <w:rsid w:val="00645EB3"/>
    <w:rsid w:val="00B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68F8B"/>
  <w15:chartTrackingRefBased/>
  <w15:docId w15:val="{43394679-316E-4293-A7C8-45899FA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C4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4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47C4C"/>
    <w:rPr>
      <w:i/>
      <w:iCs/>
    </w:rPr>
  </w:style>
  <w:style w:type="character" w:styleId="Strong">
    <w:name w:val="Strong"/>
    <w:basedOn w:val="DefaultParagraphFont"/>
    <w:uiPriority w:val="22"/>
    <w:qFormat/>
    <w:rsid w:val="00B47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2023-05-29T13:55:00Z</dcterms:created>
  <dcterms:modified xsi:type="dcterms:W3CDTF">2023-05-29T14:02:00Z</dcterms:modified>
</cp:coreProperties>
</file>