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93" w:rsidRPr="00044193" w:rsidRDefault="00044193" w:rsidP="00044193">
      <w:pPr>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000000"/>
          <w:sz w:val="32"/>
          <w:szCs w:val="32"/>
          <w:lang w:eastAsia="en-ZA"/>
        </w:rPr>
        <w:t>ACHPR/Res.469 (LXVII) 2020: Resolution on the situation in the Federal Democratic Republic of Ethiopia </w:t>
      </w:r>
    </w:p>
    <w:p w:rsidR="00044193" w:rsidRPr="00044193" w:rsidRDefault="00044193" w:rsidP="00044193">
      <w:pPr>
        <w:spacing w:after="0" w:line="240" w:lineRule="auto"/>
        <w:rPr>
          <w:rFonts w:ascii="Times New Roman" w:eastAsia="Times New Roman" w:hAnsi="Times New Roman" w:cs="Times New Roman"/>
          <w:sz w:val="24"/>
          <w:szCs w:val="24"/>
          <w:lang w:eastAsia="en-ZA"/>
        </w:rPr>
      </w:pP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i/>
          <w:iCs/>
          <w:color w:val="212121"/>
          <w:sz w:val="24"/>
          <w:szCs w:val="24"/>
          <w:lang w:eastAsia="en-ZA"/>
        </w:rPr>
        <w:t>The African Commission on Human and Peoples' Rights (the African Commission), meeting at its 67</w:t>
      </w:r>
      <w:r w:rsidRPr="00044193">
        <w:rPr>
          <w:rFonts w:ascii="Book Antiqua" w:eastAsia="Times New Roman" w:hAnsi="Book Antiqua" w:cs="Times New Roman"/>
          <w:i/>
          <w:iCs/>
          <w:color w:val="212121"/>
          <w:sz w:val="14"/>
          <w:szCs w:val="14"/>
          <w:vertAlign w:val="superscript"/>
          <w:lang w:eastAsia="en-ZA"/>
        </w:rPr>
        <w:t>th</w:t>
      </w:r>
      <w:r w:rsidRPr="00044193">
        <w:rPr>
          <w:rFonts w:ascii="Book Antiqua" w:eastAsia="Times New Roman" w:hAnsi="Book Antiqua" w:cs="Times New Roman"/>
          <w:i/>
          <w:iCs/>
          <w:color w:val="212121"/>
          <w:sz w:val="24"/>
          <w:szCs w:val="24"/>
          <w:lang w:eastAsia="en-ZA"/>
        </w:rPr>
        <w:t xml:space="preserve"> Ordinary Session held virtually from 13 November to 03 December 2020</w:t>
      </w:r>
      <w:r w:rsidRPr="00044193">
        <w:rPr>
          <w:rFonts w:ascii="Book Antiqua" w:eastAsia="Times New Roman" w:hAnsi="Book Antiqua" w:cs="Times New Roman"/>
          <w:i/>
          <w:iCs/>
          <w:color w:val="000000"/>
          <w:sz w:val="24"/>
          <w:szCs w:val="24"/>
          <w:lang w:eastAsia="en-ZA"/>
        </w:rPr>
        <w:t>;</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Recalling</w:t>
      </w:r>
      <w:r w:rsidRPr="00044193">
        <w:rPr>
          <w:rFonts w:ascii="Book Antiqua" w:eastAsia="Times New Roman" w:hAnsi="Book Antiqua" w:cs="Times New Roman"/>
          <w:color w:val="212121"/>
          <w:sz w:val="24"/>
          <w:szCs w:val="24"/>
          <w:lang w:eastAsia="en-ZA"/>
        </w:rPr>
        <w:t> its mandate to promote and protect human and peoples' rights in Africa under Article 45 of the African Charter on Human and Peoples' Rights (the African Charter);</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Bearing in mind</w:t>
      </w:r>
      <w:r w:rsidRPr="00044193">
        <w:rPr>
          <w:rFonts w:ascii="Book Antiqua" w:eastAsia="Times New Roman" w:hAnsi="Book Antiqua" w:cs="Times New Roman"/>
          <w:color w:val="212121"/>
          <w:sz w:val="24"/>
          <w:szCs w:val="24"/>
          <w:lang w:eastAsia="en-ZA"/>
        </w:rPr>
        <w:t> the obligations of the Federal Democratic Republic of Ethiopia (the Federal Government) under the African Charter and other relevant human rights instruments to which it is a party;</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Considering</w:t>
      </w:r>
      <w:r w:rsidRPr="00044193">
        <w:rPr>
          <w:rFonts w:ascii="Book Antiqua" w:eastAsia="Times New Roman" w:hAnsi="Book Antiqua" w:cs="Times New Roman"/>
          <w:color w:val="212121"/>
          <w:sz w:val="24"/>
          <w:szCs w:val="24"/>
          <w:lang w:eastAsia="en-ZA"/>
        </w:rPr>
        <w:t xml:space="preserve"> Article 1 of the African Charter, which calls upon States Parties to adopt legislative or other measures to give effect to the rights and freedoms guaranteed by the African Charter, the </w:t>
      </w:r>
      <w:r w:rsidRPr="00044193">
        <w:rPr>
          <w:rFonts w:ascii="Book Antiqua" w:eastAsia="Times New Roman" w:hAnsi="Book Antiqua" w:cs="Times New Roman"/>
          <w:color w:val="000000"/>
          <w:sz w:val="24"/>
          <w:szCs w:val="24"/>
          <w:lang w:eastAsia="en-ZA"/>
        </w:rPr>
        <w:t xml:space="preserve">African Union </w:t>
      </w:r>
      <w:r w:rsidRPr="00044193">
        <w:rPr>
          <w:rFonts w:ascii="Book Antiqua" w:eastAsia="Times New Roman" w:hAnsi="Book Antiqua" w:cs="Times New Roman"/>
          <w:i/>
          <w:iCs/>
          <w:color w:val="000000"/>
          <w:sz w:val="24"/>
          <w:szCs w:val="24"/>
          <w:lang w:eastAsia="en-ZA"/>
        </w:rPr>
        <w:t xml:space="preserve">Convention </w:t>
      </w:r>
      <w:r w:rsidRPr="00044193">
        <w:rPr>
          <w:rFonts w:ascii="Book Antiqua" w:eastAsia="Times New Roman" w:hAnsi="Book Antiqua" w:cs="Times New Roman"/>
          <w:color w:val="000000"/>
          <w:sz w:val="24"/>
          <w:szCs w:val="24"/>
          <w:lang w:eastAsia="en-ZA"/>
        </w:rPr>
        <w:t xml:space="preserve">for the Protection and Assistance of Internally Displaced Persons in Africa </w:t>
      </w:r>
      <w:r w:rsidRPr="00044193">
        <w:rPr>
          <w:rFonts w:ascii="Book Antiqua" w:eastAsia="Times New Roman" w:hAnsi="Book Antiqua" w:cs="Times New Roman"/>
          <w:i/>
          <w:iCs/>
          <w:color w:val="000000"/>
          <w:sz w:val="24"/>
          <w:szCs w:val="24"/>
          <w:lang w:eastAsia="en-ZA"/>
        </w:rPr>
        <w:t>(Kampala Convention)</w:t>
      </w:r>
      <w:r w:rsidRPr="00044193">
        <w:rPr>
          <w:rFonts w:ascii="Book Antiqua" w:eastAsia="Times New Roman" w:hAnsi="Book Antiqua" w:cs="Times New Roman"/>
          <w:color w:val="000000"/>
          <w:sz w:val="24"/>
          <w:szCs w:val="24"/>
          <w:lang w:eastAsia="en-ZA"/>
        </w:rPr>
        <w:t xml:space="preserve"> and the OAU Convention Governing the Specific Aspects of Refugees in Africa;</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Recalling</w:t>
      </w:r>
      <w:r w:rsidRPr="00044193">
        <w:rPr>
          <w:rFonts w:ascii="Book Antiqua" w:eastAsia="Times New Roman" w:hAnsi="Book Antiqua" w:cs="Times New Roman"/>
          <w:color w:val="212121"/>
          <w:sz w:val="24"/>
          <w:szCs w:val="24"/>
          <w:lang w:eastAsia="en-ZA"/>
        </w:rPr>
        <w:t xml:space="preserve"> Resolutions </w:t>
      </w:r>
      <w:r w:rsidRPr="00044193">
        <w:rPr>
          <w:rFonts w:ascii="Book Antiqua" w:eastAsia="Times New Roman" w:hAnsi="Book Antiqua" w:cs="Times New Roman"/>
          <w:b/>
          <w:bCs/>
          <w:color w:val="212121"/>
          <w:sz w:val="24"/>
          <w:szCs w:val="24"/>
          <w:lang w:eastAsia="en-ZA"/>
        </w:rPr>
        <w:t>ACHPR/Res.92(XXXVIII) 05</w:t>
      </w:r>
      <w:r w:rsidRPr="00044193">
        <w:rPr>
          <w:rFonts w:ascii="Book Antiqua" w:eastAsia="Times New Roman" w:hAnsi="Book Antiqua" w:cs="Times New Roman"/>
          <w:color w:val="212121"/>
          <w:sz w:val="24"/>
          <w:szCs w:val="24"/>
          <w:lang w:eastAsia="en-ZA"/>
        </w:rPr>
        <w:t xml:space="preserve">, </w:t>
      </w:r>
      <w:r w:rsidRPr="00044193">
        <w:rPr>
          <w:rFonts w:ascii="Book Antiqua" w:eastAsia="Times New Roman" w:hAnsi="Book Antiqua" w:cs="Times New Roman"/>
          <w:b/>
          <w:bCs/>
          <w:color w:val="212121"/>
          <w:sz w:val="24"/>
          <w:szCs w:val="24"/>
          <w:lang w:eastAsia="en-ZA"/>
        </w:rPr>
        <w:t>ACHPR/Res.218(LI) 2012</w:t>
      </w:r>
      <w:r w:rsidRPr="00044193">
        <w:rPr>
          <w:rFonts w:ascii="Book Antiqua" w:eastAsia="Times New Roman" w:hAnsi="Book Antiqua" w:cs="Times New Roman"/>
          <w:color w:val="212121"/>
          <w:sz w:val="24"/>
          <w:szCs w:val="24"/>
          <w:lang w:eastAsia="en-ZA"/>
        </w:rPr>
        <w:t xml:space="preserve">, </w:t>
      </w:r>
      <w:r w:rsidRPr="00044193">
        <w:rPr>
          <w:rFonts w:ascii="Book Antiqua" w:eastAsia="Times New Roman" w:hAnsi="Book Antiqua" w:cs="Times New Roman"/>
          <w:b/>
          <w:bCs/>
          <w:color w:val="212121"/>
          <w:sz w:val="24"/>
          <w:szCs w:val="24"/>
          <w:lang w:eastAsia="en-ZA"/>
        </w:rPr>
        <w:t>ACHPR/Res.356(LIX) 2016</w:t>
      </w:r>
      <w:r w:rsidRPr="00044193">
        <w:rPr>
          <w:rFonts w:ascii="Book Antiqua" w:eastAsia="Times New Roman" w:hAnsi="Book Antiqua" w:cs="Times New Roman"/>
          <w:color w:val="212121"/>
          <w:sz w:val="24"/>
          <w:szCs w:val="24"/>
          <w:lang w:eastAsia="en-ZA"/>
        </w:rPr>
        <w:t> and </w:t>
      </w:r>
      <w:r w:rsidRPr="00044193">
        <w:rPr>
          <w:rFonts w:ascii="Book Antiqua" w:eastAsia="Times New Roman" w:hAnsi="Book Antiqua" w:cs="Times New Roman"/>
          <w:b/>
          <w:bCs/>
          <w:color w:val="212121"/>
          <w:sz w:val="24"/>
          <w:szCs w:val="24"/>
          <w:lang w:eastAsia="en-ZA"/>
        </w:rPr>
        <w:t>ACHPR/Res.429(LXV) 2019</w:t>
      </w:r>
      <w:r w:rsidRPr="00044193">
        <w:rPr>
          <w:rFonts w:ascii="Book Antiqua" w:eastAsia="Times New Roman" w:hAnsi="Book Antiqua" w:cs="Times New Roman"/>
          <w:color w:val="212121"/>
          <w:sz w:val="24"/>
          <w:szCs w:val="24"/>
          <w:lang w:eastAsia="en-ZA"/>
        </w:rPr>
        <w:t xml:space="preserve"> on the human rights situation in the Federal Democratic Republic of Ethiopia (Ethiopia);</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Recalling</w:t>
      </w:r>
      <w:r w:rsidRPr="00044193">
        <w:rPr>
          <w:rFonts w:ascii="Book Antiqua" w:eastAsia="Times New Roman" w:hAnsi="Book Antiqua" w:cs="Times New Roman"/>
          <w:color w:val="212121"/>
          <w:sz w:val="24"/>
          <w:szCs w:val="24"/>
          <w:lang w:eastAsia="en-ZA"/>
        </w:rPr>
        <w:t xml:space="preserve"> the Commission’s Press Release on the socio-political crisis in the Federal Democratic Republic of Ethiopia issued on 09 November 2020</w:t>
      </w:r>
      <w:r w:rsidRPr="00044193">
        <w:rPr>
          <w:rFonts w:ascii="Book Antiqua" w:eastAsia="Times New Roman" w:hAnsi="Book Antiqua" w:cs="Times New Roman"/>
          <w:b/>
          <w:bCs/>
          <w:color w:val="212121"/>
          <w:sz w:val="24"/>
          <w:szCs w:val="24"/>
          <w:lang w:eastAsia="en-ZA"/>
        </w:rPr>
        <w:t xml:space="preserve"> </w:t>
      </w:r>
      <w:r w:rsidRPr="00044193">
        <w:rPr>
          <w:rFonts w:ascii="Book Antiqua" w:eastAsia="Times New Roman" w:hAnsi="Book Antiqua" w:cs="Times New Roman"/>
          <w:color w:val="212121"/>
          <w:sz w:val="24"/>
          <w:szCs w:val="24"/>
          <w:lang w:eastAsia="en-ZA"/>
        </w:rPr>
        <w:t>and the Commission’s Press Release on the situation in Ethiopia issued on 26 November 2020;</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Concerned</w:t>
      </w:r>
      <w:r w:rsidRPr="00044193">
        <w:rPr>
          <w:rFonts w:ascii="Book Antiqua" w:eastAsia="Times New Roman" w:hAnsi="Book Antiqua" w:cs="Times New Roman"/>
          <w:color w:val="212121"/>
          <w:sz w:val="24"/>
          <w:szCs w:val="24"/>
          <w:lang w:eastAsia="en-ZA"/>
        </w:rPr>
        <w:t> about the ongoing conflict in the Tigray region which has led to the forced displacement of more than 30,000 Ethiopians to Sudan as well as the threat of a serious humanitarian crisis if the situation is not addressed;</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Concerned further</w:t>
      </w:r>
      <w:r w:rsidRPr="00044193">
        <w:rPr>
          <w:rFonts w:ascii="Book Antiqua" w:eastAsia="Times New Roman" w:hAnsi="Book Antiqua" w:cs="Times New Roman"/>
          <w:color w:val="212121"/>
          <w:sz w:val="24"/>
          <w:szCs w:val="24"/>
          <w:lang w:eastAsia="en-ZA"/>
        </w:rPr>
        <w:t> by the threats to the safety, security, well-being and livelihood of the people in the Tigray region as well as the loss of life, destruction of private property and public infrastructure as the conflict is unfolding;</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Takes note</w:t>
      </w:r>
      <w:r w:rsidRPr="00044193">
        <w:rPr>
          <w:rFonts w:ascii="Book Antiqua" w:eastAsia="Times New Roman" w:hAnsi="Book Antiqua" w:cs="Times New Roman"/>
          <w:color w:val="212121"/>
          <w:sz w:val="24"/>
          <w:szCs w:val="24"/>
          <w:lang w:eastAsia="en-ZA"/>
        </w:rPr>
        <w:t> of the establishment by the Federal Government of an interim administration for the Tigray region to ensure transition until the organization of regional elections, and the organization of two fact-finding missions to assess the situation on the ground and facilitate the supply of food and medical items; and</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Welcomes</w:t>
      </w:r>
      <w:r w:rsidRPr="00044193">
        <w:rPr>
          <w:rFonts w:ascii="Book Antiqua" w:eastAsia="Times New Roman" w:hAnsi="Book Antiqua" w:cs="Times New Roman"/>
          <w:color w:val="212121"/>
          <w:sz w:val="24"/>
          <w:szCs w:val="24"/>
          <w:lang w:eastAsia="en-ZA"/>
        </w:rPr>
        <w:t> the steps taken by the Federal Government to work with relevant stakeholders in order to facilitate humanitarian action;</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The African Commission:</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numPr>
          <w:ilvl w:val="0"/>
          <w:numId w:val="1"/>
        </w:numPr>
        <w:spacing w:after="0" w:line="240" w:lineRule="auto"/>
        <w:ind w:left="420"/>
        <w:jc w:val="both"/>
        <w:textAlignment w:val="baseline"/>
        <w:rPr>
          <w:rFonts w:ascii="Book Antiqua" w:eastAsia="Times New Roman" w:hAnsi="Book Antiqua" w:cs="Times New Roman"/>
          <w:color w:val="000000"/>
          <w:sz w:val="24"/>
          <w:szCs w:val="24"/>
          <w:lang w:eastAsia="en-ZA"/>
        </w:rPr>
      </w:pPr>
      <w:r w:rsidRPr="00044193">
        <w:rPr>
          <w:rFonts w:ascii="Book Antiqua" w:eastAsia="Times New Roman" w:hAnsi="Book Antiqua" w:cs="Times New Roman"/>
          <w:b/>
          <w:bCs/>
          <w:color w:val="000000"/>
          <w:sz w:val="24"/>
          <w:szCs w:val="24"/>
          <w:lang w:eastAsia="en-ZA"/>
        </w:rPr>
        <w:lastRenderedPageBreak/>
        <w:t>Condemns</w:t>
      </w:r>
      <w:r w:rsidRPr="00044193">
        <w:rPr>
          <w:rFonts w:ascii="Book Antiqua" w:eastAsia="Times New Roman" w:hAnsi="Book Antiqua" w:cs="Times New Roman"/>
          <w:color w:val="000000"/>
          <w:sz w:val="24"/>
          <w:szCs w:val="24"/>
          <w:lang w:eastAsia="en-ZA"/>
        </w:rPr>
        <w:t xml:space="preserve"> the use of force by the Federal Government in the Tigray region;</w:t>
      </w:r>
    </w:p>
    <w:p w:rsidR="00044193" w:rsidRPr="00044193" w:rsidRDefault="00044193" w:rsidP="00044193">
      <w:pPr>
        <w:spacing w:after="0" w:line="240" w:lineRule="auto"/>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br/>
      </w:r>
    </w:p>
    <w:p w:rsidR="00044193" w:rsidRPr="00044193" w:rsidRDefault="00044193" w:rsidP="00044193">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044193">
        <w:rPr>
          <w:rFonts w:ascii="Book Antiqua" w:eastAsia="Times New Roman" w:hAnsi="Book Antiqua" w:cs="Times New Roman"/>
          <w:b/>
          <w:bCs/>
          <w:color w:val="000000"/>
          <w:sz w:val="24"/>
          <w:szCs w:val="24"/>
          <w:lang w:eastAsia="en-ZA"/>
        </w:rPr>
        <w:t>Calls upon</w:t>
      </w:r>
      <w:r w:rsidRPr="00044193">
        <w:rPr>
          <w:rFonts w:ascii="Book Antiqua" w:eastAsia="Times New Roman" w:hAnsi="Book Antiqua" w:cs="Times New Roman"/>
          <w:color w:val="000000"/>
          <w:sz w:val="24"/>
          <w:szCs w:val="24"/>
          <w:lang w:eastAsia="en-ZA"/>
        </w:rPr>
        <w:t> the Federal Government to:</w:t>
      </w:r>
    </w:p>
    <w:p w:rsidR="00044193" w:rsidRPr="00044193" w:rsidRDefault="00044193" w:rsidP="00044193">
      <w:pPr>
        <w:spacing w:after="0" w:line="240" w:lineRule="auto"/>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br/>
      </w:r>
    </w:p>
    <w:p w:rsidR="00044193" w:rsidRPr="00044193" w:rsidRDefault="00044193" w:rsidP="00044193">
      <w:pPr>
        <w:numPr>
          <w:ilvl w:val="0"/>
          <w:numId w:val="3"/>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ensure that humanitarian aid is swiftly provided to the displaced persons and civilians in the conflict areas;</w:t>
      </w:r>
    </w:p>
    <w:p w:rsidR="00044193" w:rsidRPr="00044193" w:rsidRDefault="00044193" w:rsidP="00044193">
      <w:pPr>
        <w:numPr>
          <w:ilvl w:val="0"/>
          <w:numId w:val="3"/>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conduct prompt, impartial and effective investigations into the loss of life of civilians and other human rights violations committed during the armed conflict, hold the perpetrators accountable and provide appropriate and adequate reparations to the victims and their families; </w:t>
      </w:r>
    </w:p>
    <w:p w:rsidR="00044193" w:rsidRPr="00044193" w:rsidRDefault="00044193" w:rsidP="00044193">
      <w:pPr>
        <w:numPr>
          <w:ilvl w:val="0"/>
          <w:numId w:val="4"/>
        </w:numPr>
        <w:shd w:val="clear" w:color="auto" w:fill="FFFFFF"/>
        <w:spacing w:after="0" w:line="240" w:lineRule="auto"/>
        <w:ind w:left="1200"/>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respect the fair trial rights of people arrested and detained in relation to the conflict;</w:t>
      </w:r>
    </w:p>
    <w:p w:rsidR="00044193" w:rsidRPr="00044193" w:rsidRDefault="00044193" w:rsidP="00044193">
      <w:pPr>
        <w:numPr>
          <w:ilvl w:val="0"/>
          <w:numId w:val="5"/>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take all necessary measures to ensure that the economic life of the Tigray region is restored so as to mitigate a dire socio-economic crisis on the population in that region;</w:t>
      </w:r>
    </w:p>
    <w:p w:rsidR="00044193" w:rsidRPr="00044193" w:rsidRDefault="00044193" w:rsidP="00044193">
      <w:pPr>
        <w:numPr>
          <w:ilvl w:val="0"/>
          <w:numId w:val="6"/>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ensure the protection of the human rights of all Ethiopians, especially in the Tigray region in accordance with the regional and international human rights instruments ratified by Ethiopia; </w:t>
      </w:r>
    </w:p>
    <w:p w:rsidR="00044193" w:rsidRPr="00044193" w:rsidRDefault="00044193" w:rsidP="00044193">
      <w:pPr>
        <w:numPr>
          <w:ilvl w:val="0"/>
          <w:numId w:val="7"/>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000000"/>
          <w:sz w:val="24"/>
          <w:szCs w:val="24"/>
          <w:lang w:eastAsia="en-ZA"/>
        </w:rPr>
        <w:t>engage in a dialogue with all the stakeholders concerned with a view to putting a definitive  end to the armed conflict;</w:t>
      </w:r>
      <w:r w:rsidRPr="00044193">
        <w:rPr>
          <w:rFonts w:ascii="Book Antiqua" w:eastAsia="Times New Roman" w:hAnsi="Book Antiqua" w:cs="Times New Roman"/>
          <w:color w:val="212121"/>
          <w:sz w:val="24"/>
          <w:szCs w:val="24"/>
          <w:lang w:eastAsia="en-ZA"/>
        </w:rPr>
        <w:t xml:space="preserve"> and</w:t>
      </w:r>
    </w:p>
    <w:p w:rsidR="00044193" w:rsidRPr="00044193" w:rsidRDefault="00044193" w:rsidP="00044193">
      <w:pPr>
        <w:numPr>
          <w:ilvl w:val="0"/>
          <w:numId w:val="8"/>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proofErr w:type="gramStart"/>
      <w:r w:rsidRPr="00044193">
        <w:rPr>
          <w:rFonts w:ascii="Book Antiqua" w:eastAsia="Times New Roman" w:hAnsi="Book Antiqua" w:cs="Times New Roman"/>
          <w:color w:val="212121"/>
          <w:sz w:val="24"/>
          <w:szCs w:val="24"/>
          <w:lang w:eastAsia="en-ZA"/>
        </w:rPr>
        <w:t>take</w:t>
      </w:r>
      <w:proofErr w:type="gramEnd"/>
      <w:r w:rsidRPr="00044193">
        <w:rPr>
          <w:rFonts w:ascii="Book Antiqua" w:eastAsia="Times New Roman" w:hAnsi="Book Antiqua" w:cs="Times New Roman"/>
          <w:color w:val="212121"/>
          <w:sz w:val="24"/>
          <w:szCs w:val="24"/>
          <w:lang w:eastAsia="en-ZA"/>
        </w:rPr>
        <w:t xml:space="preserve"> all the necessary steps to achieve lasting peace, security and stability in Ethiopia as a whole.</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numPr>
          <w:ilvl w:val="0"/>
          <w:numId w:val="9"/>
        </w:numPr>
        <w:shd w:val="clear" w:color="auto" w:fill="FFFFFF"/>
        <w:spacing w:after="0" w:line="240" w:lineRule="auto"/>
        <w:jc w:val="both"/>
        <w:textAlignment w:val="baseline"/>
        <w:rPr>
          <w:rFonts w:ascii="Book Antiqua" w:eastAsia="Times New Roman" w:hAnsi="Book Antiqua" w:cs="Times New Roman"/>
          <w:color w:val="212121"/>
          <w:sz w:val="24"/>
          <w:szCs w:val="24"/>
          <w:lang w:eastAsia="en-ZA"/>
        </w:rPr>
      </w:pPr>
      <w:r w:rsidRPr="00044193">
        <w:rPr>
          <w:rFonts w:ascii="Book Antiqua" w:eastAsia="Times New Roman" w:hAnsi="Book Antiqua" w:cs="Times New Roman"/>
          <w:color w:val="212121"/>
          <w:sz w:val="24"/>
          <w:szCs w:val="24"/>
          <w:lang w:eastAsia="en-ZA"/>
        </w:rPr>
        <w:t> </w:t>
      </w:r>
      <w:r w:rsidRPr="00044193">
        <w:rPr>
          <w:rFonts w:ascii="Book Antiqua" w:eastAsia="Times New Roman" w:hAnsi="Book Antiqua" w:cs="Times New Roman"/>
          <w:b/>
          <w:bCs/>
          <w:color w:val="212121"/>
          <w:sz w:val="24"/>
          <w:szCs w:val="24"/>
          <w:lang w:eastAsia="en-ZA"/>
        </w:rPr>
        <w:t xml:space="preserve">Reminds </w:t>
      </w:r>
      <w:r w:rsidRPr="00044193">
        <w:rPr>
          <w:rFonts w:ascii="Book Antiqua" w:eastAsia="Times New Roman" w:hAnsi="Book Antiqua" w:cs="Times New Roman"/>
          <w:color w:val="212121"/>
          <w:sz w:val="24"/>
          <w:szCs w:val="24"/>
          <w:lang w:eastAsia="en-ZA"/>
        </w:rPr>
        <w:t>all parties (the Federal Government, the Tigray People’s Liberation Front and other militia groups) of their responsibilities for the safety of civilians and to avoid civilian populated areas during this period of the conflict.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both"/>
        <w:rPr>
          <w:rFonts w:ascii="Times New Roman" w:eastAsia="Times New Roman" w:hAnsi="Times New Roman" w:cs="Times New Roman"/>
          <w:sz w:val="24"/>
          <w:szCs w:val="24"/>
          <w:lang w:eastAsia="en-ZA"/>
        </w:rPr>
      </w:pPr>
      <w:r w:rsidRPr="00044193">
        <w:rPr>
          <w:rFonts w:ascii="Times New Roman" w:eastAsia="Times New Roman" w:hAnsi="Times New Roman" w:cs="Times New Roman"/>
          <w:sz w:val="24"/>
          <w:szCs w:val="24"/>
          <w:lang w:eastAsia="en-ZA"/>
        </w:rPr>
        <w:t> </w:t>
      </w:r>
    </w:p>
    <w:p w:rsidR="00044193" w:rsidRPr="00044193" w:rsidRDefault="00044193" w:rsidP="00044193">
      <w:pPr>
        <w:shd w:val="clear" w:color="auto" w:fill="FFFFFF"/>
        <w:spacing w:after="0" w:line="240" w:lineRule="auto"/>
        <w:jc w:val="center"/>
        <w:rPr>
          <w:rFonts w:ascii="Times New Roman" w:eastAsia="Times New Roman" w:hAnsi="Times New Roman" w:cs="Times New Roman"/>
          <w:sz w:val="24"/>
          <w:szCs w:val="24"/>
          <w:lang w:eastAsia="en-ZA"/>
        </w:rPr>
      </w:pPr>
      <w:r w:rsidRPr="00044193">
        <w:rPr>
          <w:rFonts w:ascii="Book Antiqua" w:eastAsia="Times New Roman" w:hAnsi="Book Antiqua" w:cs="Times New Roman"/>
          <w:b/>
          <w:bCs/>
          <w:color w:val="212121"/>
          <w:sz w:val="24"/>
          <w:szCs w:val="24"/>
          <w:lang w:eastAsia="en-ZA"/>
        </w:rPr>
        <w:t>Done virtually, on 03 December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D1B"/>
    <w:multiLevelType w:val="multilevel"/>
    <w:tmpl w:val="3B6C2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55C7"/>
    <w:multiLevelType w:val="multilevel"/>
    <w:tmpl w:val="D1123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D295D"/>
    <w:multiLevelType w:val="multilevel"/>
    <w:tmpl w:val="295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3582D"/>
    <w:multiLevelType w:val="hybridMultilevel"/>
    <w:tmpl w:val="10B8DBC8"/>
    <w:lvl w:ilvl="0" w:tplc="427C240E">
      <w:start w:val="3"/>
      <w:numFmt w:val="lowerLetter"/>
      <w:lvlText w:val="%1."/>
      <w:lvlJc w:val="left"/>
      <w:pPr>
        <w:tabs>
          <w:tab w:val="num" w:pos="720"/>
        </w:tabs>
        <w:ind w:left="720" w:hanging="360"/>
      </w:pPr>
    </w:lvl>
    <w:lvl w:ilvl="1" w:tplc="96828132" w:tentative="1">
      <w:start w:val="1"/>
      <w:numFmt w:val="decimal"/>
      <w:lvlText w:val="%2."/>
      <w:lvlJc w:val="left"/>
      <w:pPr>
        <w:tabs>
          <w:tab w:val="num" w:pos="1440"/>
        </w:tabs>
        <w:ind w:left="1440" w:hanging="360"/>
      </w:pPr>
    </w:lvl>
    <w:lvl w:ilvl="2" w:tplc="F7842136" w:tentative="1">
      <w:start w:val="1"/>
      <w:numFmt w:val="decimal"/>
      <w:lvlText w:val="%3."/>
      <w:lvlJc w:val="left"/>
      <w:pPr>
        <w:tabs>
          <w:tab w:val="num" w:pos="2160"/>
        </w:tabs>
        <w:ind w:left="2160" w:hanging="360"/>
      </w:pPr>
    </w:lvl>
    <w:lvl w:ilvl="3" w:tplc="897A7B8E" w:tentative="1">
      <w:start w:val="1"/>
      <w:numFmt w:val="decimal"/>
      <w:lvlText w:val="%4."/>
      <w:lvlJc w:val="left"/>
      <w:pPr>
        <w:tabs>
          <w:tab w:val="num" w:pos="2880"/>
        </w:tabs>
        <w:ind w:left="2880" w:hanging="360"/>
      </w:pPr>
    </w:lvl>
    <w:lvl w:ilvl="4" w:tplc="9A5C6428" w:tentative="1">
      <w:start w:val="1"/>
      <w:numFmt w:val="decimal"/>
      <w:lvlText w:val="%5."/>
      <w:lvlJc w:val="left"/>
      <w:pPr>
        <w:tabs>
          <w:tab w:val="num" w:pos="3600"/>
        </w:tabs>
        <w:ind w:left="3600" w:hanging="360"/>
      </w:pPr>
    </w:lvl>
    <w:lvl w:ilvl="5" w:tplc="E96EB956" w:tentative="1">
      <w:start w:val="1"/>
      <w:numFmt w:val="decimal"/>
      <w:lvlText w:val="%6."/>
      <w:lvlJc w:val="left"/>
      <w:pPr>
        <w:tabs>
          <w:tab w:val="num" w:pos="4320"/>
        </w:tabs>
        <w:ind w:left="4320" w:hanging="360"/>
      </w:pPr>
    </w:lvl>
    <w:lvl w:ilvl="6" w:tplc="8D42A1F0" w:tentative="1">
      <w:start w:val="1"/>
      <w:numFmt w:val="decimal"/>
      <w:lvlText w:val="%7."/>
      <w:lvlJc w:val="left"/>
      <w:pPr>
        <w:tabs>
          <w:tab w:val="num" w:pos="5040"/>
        </w:tabs>
        <w:ind w:left="5040" w:hanging="360"/>
      </w:pPr>
    </w:lvl>
    <w:lvl w:ilvl="7" w:tplc="15943502" w:tentative="1">
      <w:start w:val="1"/>
      <w:numFmt w:val="decimal"/>
      <w:lvlText w:val="%8."/>
      <w:lvlJc w:val="left"/>
      <w:pPr>
        <w:tabs>
          <w:tab w:val="num" w:pos="5760"/>
        </w:tabs>
        <w:ind w:left="5760" w:hanging="360"/>
      </w:pPr>
    </w:lvl>
    <w:lvl w:ilvl="8" w:tplc="1ED4FC8C" w:tentative="1">
      <w:start w:val="1"/>
      <w:numFmt w:val="decimal"/>
      <w:lvlText w:val="%9."/>
      <w:lvlJc w:val="left"/>
      <w:pPr>
        <w:tabs>
          <w:tab w:val="num" w:pos="6480"/>
        </w:tabs>
        <w:ind w:left="6480" w:hanging="360"/>
      </w:pPr>
    </w:lvl>
  </w:abstractNum>
  <w:abstractNum w:abstractNumId="4" w15:restartNumberingAfterBreak="0">
    <w:nsid w:val="688A4AC8"/>
    <w:multiLevelType w:val="multilevel"/>
    <w:tmpl w:val="487C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3"/>
  </w:num>
  <w:num w:numId="5">
    <w:abstractNumId w:val="3"/>
    <w:lvlOverride w:ilvl="0">
      <w:lvl w:ilvl="0" w:tplc="427C240E">
        <w:numFmt w:val="lowerLetter"/>
        <w:lvlText w:val="%1."/>
        <w:lvlJc w:val="left"/>
      </w:lvl>
    </w:lvlOverride>
  </w:num>
  <w:num w:numId="6">
    <w:abstractNumId w:val="3"/>
    <w:lvlOverride w:ilvl="0">
      <w:lvl w:ilvl="0" w:tplc="427C240E">
        <w:numFmt w:val="lowerLetter"/>
        <w:lvlText w:val="%1."/>
        <w:lvlJc w:val="left"/>
      </w:lvl>
    </w:lvlOverride>
  </w:num>
  <w:num w:numId="7">
    <w:abstractNumId w:val="3"/>
    <w:lvlOverride w:ilvl="0">
      <w:lvl w:ilvl="0" w:tplc="427C240E">
        <w:numFmt w:val="lowerLetter"/>
        <w:lvlText w:val="%1."/>
        <w:lvlJc w:val="left"/>
      </w:lvl>
    </w:lvlOverride>
  </w:num>
  <w:num w:numId="8">
    <w:abstractNumId w:val="3"/>
    <w:lvlOverride w:ilvl="0">
      <w:lvl w:ilvl="0" w:tplc="427C240E">
        <w:numFmt w:val="lowerLetter"/>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93"/>
    <w:rsid w:val="00043C12"/>
    <w:rsid w:val="00044193"/>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B64C-B04B-48DA-84B2-C910891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19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2021-10-31T07:30:00Z</dcterms:created>
  <dcterms:modified xsi:type="dcterms:W3CDTF">2021-10-31T07:30:00Z</dcterms:modified>
</cp:coreProperties>
</file>