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8E" w:rsidRPr="00D0158E" w:rsidRDefault="00D0158E" w:rsidP="00D0158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réponses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africaines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problématique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migration et la protection des migrants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vue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développer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principes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directeurs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</w:t>
      </w:r>
      <w:proofErr w:type="spellStart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D01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migrants - CADHP/Res. 481 (LXVIII) 2021</w:t>
      </w:r>
    </w:p>
    <w:p w:rsidR="00645EB3" w:rsidRPr="00D0158E" w:rsidRDefault="00D0158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D0158E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D0158E">
        <w:rPr>
          <w:rFonts w:cstheme="minorHAnsi"/>
          <w:color w:val="231F20"/>
          <w:sz w:val="23"/>
          <w:szCs w:val="23"/>
          <w:shd w:val="clear" w:color="auto" w:fill="FFFFFF"/>
        </w:rPr>
        <w:t xml:space="preserve"> 20, 2021</w:t>
      </w:r>
    </w:p>
    <w:p w:rsidR="00D0158E" w:rsidRPr="00D0158E" w:rsidRDefault="00D0158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lors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</w:t>
      </w:r>
      <w:r w:rsidRPr="00D0158E">
        <w:rPr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14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avril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04 </w:t>
      </w:r>
      <w:proofErr w:type="spellStart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>mai</w:t>
      </w:r>
      <w:proofErr w:type="spellEnd"/>
      <w:r w:rsidRPr="00D015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2021;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45  de</w:t>
      </w:r>
      <w:proofErr w:type="gram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) ; 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CADHP/Res.114(XXXXII) 07 sur la Migration et les Droits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; CADHP/RES.333(EXT.OS/XIX) 2016 sur la situation des migrants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 et</w:t>
      </w:r>
      <w:proofErr w:type="gram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ACHPR/Res.470 (LXVII) 2020  sur la protection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internes et migrants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la COVID-19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survenance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contraintes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proofErr w:type="gram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poussent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un grand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s’exiler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hors du continents ;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l’augmentation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exponentielle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migrations </w:t>
      </w:r>
      <w:proofErr w:type="spellStart"/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irrégulières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proofErr w:type="gram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désastreuse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cela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entraine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les 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proofErr w:type="gram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plans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 Plan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sur la migration,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place par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solutions à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situation  aux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désastreuses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pour les pays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perdent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progressivement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jeunesse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avenir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 la situation des migrants hors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qui font face à des multiples violations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adéquat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la part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d’origine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d’évaluer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l’effectivité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l'ensemble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proofErr w:type="gram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place pour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freiner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la migration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irrégulière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,  face à la progression continue  de la migration ;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entourent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la migration, et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redéfinir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 par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l’ampleur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migrants de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départ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du pays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d’origine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l’arrivée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au pays de destination;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au titre 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l’alinéa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1 (b)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qui l'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autorise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à «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La </w:t>
      </w:r>
      <w:proofErr w:type="gram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conventionnelles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les engagements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souscrivant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protection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refugies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sur le continent,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la Convention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1969  et la Convention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de 2009 ;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les migrants,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et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relative aux questions de migration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conventions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ne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contredise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pas;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 droits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indirectement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refugies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des migrants;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Fonts w:asciiTheme="minorHAnsi" w:hAnsiTheme="minorHAnsi" w:cstheme="minorHAnsi"/>
          <w:color w:val="53575A"/>
          <w:sz w:val="23"/>
          <w:szCs w:val="23"/>
        </w:rPr>
        <w:t>4.  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conduire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évaluer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à la migration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directives pour la protection des droits des migrants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) 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sur 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problématique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de la migration et la protection des migrants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Fonts w:asciiTheme="minorHAnsi" w:hAnsiTheme="minorHAnsi" w:cstheme="minorHAnsi"/>
          <w:color w:val="53575A"/>
          <w:sz w:val="23"/>
          <w:szCs w:val="23"/>
        </w:rPr>
        <w:t>(ii) 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Elaborer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directives sur la protection des droits des migrants,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 xml:space="preserve"> sur la base des conclusions de </w:t>
      </w:r>
      <w:proofErr w:type="spellStart"/>
      <w:r w:rsidRPr="00D0158E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D0158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0158E" w:rsidRPr="00D0158E" w:rsidRDefault="00D0158E" w:rsidP="00D01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04 </w:t>
      </w:r>
      <w:proofErr w:type="spellStart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D015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D0158E" w:rsidRDefault="00D0158E"/>
    <w:sectPr w:rsidR="00D0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8E"/>
    <w:rsid w:val="00645EB3"/>
    <w:rsid w:val="00D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4B457"/>
  <w15:chartTrackingRefBased/>
  <w15:docId w15:val="{435F11D5-8DB7-4CC8-BBBD-FA667C02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1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8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0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01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2023-05-15T07:23:00Z</dcterms:created>
  <dcterms:modified xsi:type="dcterms:W3CDTF">2023-05-15T07:26:00Z</dcterms:modified>
</cp:coreProperties>
</file>