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8C" w:rsidRPr="00D84B8C" w:rsidRDefault="00C8620C" w:rsidP="00D84B8C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proofErr w:type="spellStart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Résolution</w:t>
      </w:r>
      <w:proofErr w:type="spellEnd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sur </w:t>
      </w:r>
      <w:proofErr w:type="spellStart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l’Adoption</w:t>
      </w:r>
      <w:proofErr w:type="spellEnd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des </w:t>
      </w:r>
      <w:proofErr w:type="spellStart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Règles</w:t>
      </w:r>
      <w:proofErr w:type="spellEnd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portant</w:t>
      </w:r>
      <w:proofErr w:type="spellEnd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création</w:t>
      </w:r>
      <w:proofErr w:type="spellEnd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et </w:t>
      </w:r>
      <w:proofErr w:type="spellStart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fonctionnement</w:t>
      </w:r>
      <w:proofErr w:type="spellEnd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du </w:t>
      </w:r>
      <w:proofErr w:type="spellStart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mécanisme</w:t>
      </w:r>
      <w:proofErr w:type="spellEnd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d’alerte</w:t>
      </w:r>
      <w:proofErr w:type="spellEnd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et de rapport à la Commission </w:t>
      </w:r>
      <w:proofErr w:type="spellStart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Africaine</w:t>
      </w:r>
      <w:proofErr w:type="spellEnd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des Droits de </w:t>
      </w:r>
      <w:proofErr w:type="spellStart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l’Homme</w:t>
      </w:r>
      <w:proofErr w:type="spellEnd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et des </w:t>
      </w:r>
      <w:proofErr w:type="spellStart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Peuples</w:t>
      </w:r>
      <w:proofErr w:type="spellEnd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des situations de torture et </w:t>
      </w:r>
      <w:proofErr w:type="spellStart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autres</w:t>
      </w:r>
      <w:proofErr w:type="spellEnd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peines</w:t>
      </w:r>
      <w:proofErr w:type="spellEnd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ou</w:t>
      </w:r>
      <w:proofErr w:type="spellEnd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traitements</w:t>
      </w:r>
      <w:proofErr w:type="spellEnd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cruels</w:t>
      </w:r>
      <w:proofErr w:type="spellEnd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, </w:t>
      </w:r>
      <w:proofErr w:type="spellStart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inhumains</w:t>
      </w:r>
      <w:proofErr w:type="spellEnd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ou</w:t>
      </w:r>
      <w:proofErr w:type="spellEnd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dégra</w:t>
      </w:r>
      <w:proofErr w:type="spellEnd"/>
      <w:r w:rsidR="00D84B8C" w:rsidRPr="00D84B8C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 - </w:t>
      </w:r>
      <w:r w:rsidR="00D84B8C"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CADHP/RES. 52</w:t>
      </w:r>
      <w:r w:rsidR="00D84B8C"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>0</w:t>
      </w:r>
      <w:r w:rsidR="00D84B8C" w:rsidRPr="00D84B8C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(LXXII)</w:t>
      </w:r>
    </w:p>
    <w:p w:rsidR="00645EB3" w:rsidRPr="00D84B8C" w:rsidRDefault="00C8620C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  <w:proofErr w:type="spellStart"/>
      <w:r w:rsidRPr="00D84B8C">
        <w:rPr>
          <w:rFonts w:cstheme="minorHAnsi"/>
          <w:color w:val="231F20"/>
          <w:sz w:val="23"/>
          <w:szCs w:val="23"/>
          <w:shd w:val="clear" w:color="auto" w:fill="FFFFFF"/>
        </w:rPr>
        <w:t>Aoû</w:t>
      </w:r>
      <w:proofErr w:type="spellEnd"/>
      <w:r w:rsidRPr="00D84B8C">
        <w:rPr>
          <w:rFonts w:cstheme="minorHAnsi"/>
          <w:color w:val="231F20"/>
          <w:sz w:val="23"/>
          <w:szCs w:val="23"/>
          <w:shd w:val="clear" w:color="auto" w:fill="FFFFFF"/>
        </w:rPr>
        <w:t xml:space="preserve"> 11, 2022</w:t>
      </w:r>
    </w:p>
    <w:p w:rsidR="00C8620C" w:rsidRPr="00D84B8C" w:rsidRDefault="00C8620C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72</w:t>
      </w:r>
      <w:r w:rsidRPr="00D84B8C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tenue </w:t>
      </w:r>
      <w:proofErr w:type="spellStart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du 19 </w:t>
      </w:r>
      <w:proofErr w:type="spellStart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02 </w:t>
      </w:r>
      <w:proofErr w:type="spellStart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2022 :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>) ;  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caractère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absolu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non-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dérogeable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la torture et des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5 de la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d’interdiction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la torture et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Island),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32</w:t>
      </w:r>
      <w:r w:rsidRPr="00D84B8C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, tenue du 17 au 23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2002 à Banjul,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2004, du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le but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desdites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84B8C">
        <w:rPr>
          <w:rFonts w:asciiTheme="minorHAnsi" w:hAnsiTheme="minorHAnsi" w:cstheme="minorHAnsi"/>
          <w:color w:val="53575A"/>
          <w:sz w:val="23"/>
          <w:szCs w:val="23"/>
        </w:rPr>
        <w:t>la </w:t>
      </w: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CADHP/Rés.158 (XLVI) 09</w:t>
      </w:r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modification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l’appellation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la torture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>) ;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27</w:t>
      </w:r>
      <w:r w:rsidRPr="00D84B8C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 Session extraordinaire tenue du 19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au 4 mars 2020 à Banjul,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la 69</w:t>
      </w:r>
      <w:r w:rsidRPr="00D84B8C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tenue à Dakar au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mode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hybride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, la Commission à travers la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CADHP/Res. 507 (LXIX)2021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intitulée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l’Elaboration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d’Alerte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de Rapport à la CADHP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aux Situations de Torture et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Connexes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(SOP)</w:t>
      </w:r>
      <w:r w:rsidRPr="00D84B8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 a chargé le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d’élaborer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lesdites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de les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soumettre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pour adoption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d’un an ;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Tenant </w:t>
      </w: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ailleurs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>, que Les </w:t>
      </w:r>
      <w:proofErr w:type="spellStart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indiquent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qu’entre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rôles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subsidiaires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« la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réception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la prise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par rapport aux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>. »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que la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l’identification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, le tri, la restitution et la classification,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l’analyse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un but de la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relatives au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du CPTA, et le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caractère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contraignant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peu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formaté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rapports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fragilisent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la coordination et la constitution des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au CPTA, les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rendant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difficilement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exploitables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retardant les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actions du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.  Il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ressort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besoin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d’établir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système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d’identification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d’analyse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de </w:t>
      </w:r>
      <w:r w:rsidRPr="00D84B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reporting</w:t>
      </w:r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formalisé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ligne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d’urgence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du CPTA ;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Tenant </w:t>
      </w: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que le CPTA se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place un cadre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formel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identification et transmission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d’informations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aux questions de torture et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connexes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d’imminence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survenance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disposer des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éléments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contextualisé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intervention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conformité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textes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applicables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 avec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appréciation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le travail accompli par le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sous la direction du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Hatem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Essaiem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nomination le 15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2017 ; y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réussie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travaux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Zanzibar (6 au 7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2021 à Zanzibar) et de Tunis (17 au 18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2021)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préparé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l’Atelier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Validation des « 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d’Abidjan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 » (Abidjan, du 27 au 29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2022) ;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note </w:t>
      </w:r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des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travaux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l’Atelier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Validation des « 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d’Abidjan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 »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rapportés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72</w:t>
      </w:r>
      <w:r w:rsidRPr="00D84B8C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Privée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par le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du CPTA et les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dudit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Remerciant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partenaires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les experts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indépendants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soutenu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 et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travaillé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Remerciant</w:t>
      </w:r>
      <w:proofErr w:type="spellEnd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partenaires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experts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indépendants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travaillé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accompagné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>La Commission :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      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.         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Adopte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d’alerte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de rapport à la Commission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des situations de torture et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(Les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d’Abidjan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) ;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jointes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     ii.          Charge le CPTA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coordination et collaboration avec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 ;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rapport de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devrait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fait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2020 de la Commission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>   iii.           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concernées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à la promotion,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opérationnalisation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effective des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4B8C">
        <w:rPr>
          <w:rFonts w:asciiTheme="minorHAnsi" w:hAnsiTheme="minorHAnsi" w:cstheme="minorHAnsi"/>
          <w:color w:val="53575A"/>
          <w:sz w:val="23"/>
          <w:szCs w:val="23"/>
        </w:rPr>
        <w:t>d’Abidjan</w:t>
      </w:r>
      <w:proofErr w:type="spellEnd"/>
      <w:r w:rsidRPr="00D84B8C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620C" w:rsidRPr="00D84B8C" w:rsidRDefault="00C8620C" w:rsidP="00C8620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02 </w:t>
      </w:r>
      <w:proofErr w:type="spellStart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D84B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C8620C" w:rsidRDefault="00C8620C"/>
    <w:sectPr w:rsidR="00C86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0C"/>
    <w:rsid w:val="00645EB3"/>
    <w:rsid w:val="00C8620C"/>
    <w:rsid w:val="00D8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869A1C"/>
  <w15:chartTrackingRefBased/>
  <w15:docId w15:val="{F5D28881-E3BA-415B-AC5C-F9C4A9D2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20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8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C8620C"/>
    <w:rPr>
      <w:i/>
      <w:iCs/>
    </w:rPr>
  </w:style>
  <w:style w:type="character" w:styleId="Strong">
    <w:name w:val="Strong"/>
    <w:basedOn w:val="DefaultParagraphFont"/>
    <w:uiPriority w:val="22"/>
    <w:qFormat/>
    <w:rsid w:val="00C86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2023-04-28T05:33:00Z</dcterms:created>
  <dcterms:modified xsi:type="dcterms:W3CDTF">2023-04-28T08:03:00Z</dcterms:modified>
</cp:coreProperties>
</file>