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84" w:rsidRPr="002B2D84" w:rsidRDefault="002B2D84" w:rsidP="002B2D8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renouvellement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la nomination de la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reconstitution du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Comité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la protection des droits des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vivant avec le VIH (PVVIH) et des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personnes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risque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vulnérables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affectées</w:t>
      </w:r>
      <w:proofErr w:type="spellEnd"/>
      <w:r w:rsidRPr="002B2D8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 VIH - CADHP/Rés.534</w:t>
      </w:r>
    </w:p>
    <w:bookmarkEnd w:id="0"/>
    <w:p w:rsidR="00A61A14" w:rsidRPr="002B2D84" w:rsidRDefault="002B2D8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2B2D84">
        <w:rPr>
          <w:rFonts w:cstheme="minorHAnsi"/>
          <w:color w:val="231F20"/>
          <w:sz w:val="23"/>
          <w:szCs w:val="23"/>
          <w:shd w:val="clear" w:color="auto" w:fill="FFFFFF"/>
        </w:rPr>
        <w:t>déc</w:t>
      </w:r>
      <w:proofErr w:type="spellEnd"/>
      <w:r w:rsidRPr="002B2D84">
        <w:rPr>
          <w:rFonts w:cstheme="minorHAnsi"/>
          <w:color w:val="231F20"/>
          <w:sz w:val="23"/>
          <w:szCs w:val="23"/>
          <w:shd w:val="clear" w:color="auto" w:fill="FFFFFF"/>
        </w:rPr>
        <w:t xml:space="preserve"> 12, 2022</w:t>
      </w:r>
    </w:p>
    <w:p w:rsidR="002B2D84" w:rsidRPr="002B2D84" w:rsidRDefault="002B2D8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tenue à Banjul,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du 20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au 9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2022 :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>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) ;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que,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 cadre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la Commission 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mis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place divers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la promotion et la protection des droits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fondamental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protection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violations des droits de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et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constituent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actuellement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l'un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groupes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plus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exposés à de graves violations des droits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CADHP/Rés.163 (XLVII) 2010,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47ème Session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d'un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 VIH (le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CADHP/Rés.172 (XLVIII) 2010 et CADHP/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. 285 (EXT.OS/XVI) 2014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désignant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VIH 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CADHP/Rés.195 (L) 2011 et CADHP/Rés.325 (LVII) 2015 sur la nomination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différents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VIH 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ailleurs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CADHP/Rés.220 (LI) 2012, CADHP/Rés.279 (LV) 2014, CADHP/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. 352(EXT.OS/XX)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2016 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CADHP/Rés.383 (LXI) 2017; CADHP/Rés.425 (LXV) 2019 et CADHP/Rés.460 (LXVI) 2020 sur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renouvellement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la reconstitution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;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. 501 (LXIX)2021 sur la reconstitution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 des droits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 VIH, qui 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nommé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VIH 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CADHP/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. 523 (LXXII) 2022 sur la prorogation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 la composition de six (6)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rétrospectivement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prolongé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nouvelle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trois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(3)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mois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l’adhésion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experts de six (6)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2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2022 ;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avec satisfaction le travail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entrepris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sous la direction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anciens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l'exécution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son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lastRenderedPageBreak/>
        <w:t>Reconnaissant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promotion et la protection des droits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vivant avec le VIH (PVVIH) et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risque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vulnérables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affectées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 VIH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de continuer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remplir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Gardant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portant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création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fonctionnement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(les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27ème Session extraordinaire tenue du 19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février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au 4 mars 2020, à Banjul,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les directives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rôle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général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la composition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la nomination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durée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que le code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titulaires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Notant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prises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73ème Session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répartition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responsabilités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entre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de :</w:t>
      </w:r>
      <w:proofErr w:type="gramEnd"/>
    </w:p>
    <w:p w:rsidR="002B2D84" w:rsidRPr="002B2D84" w:rsidRDefault="002B2D84" w:rsidP="002B2D8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i.Renouveler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travail ;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ii.Nommer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l'Honorable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Litha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Musyimi-Ogana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qualité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pour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(2)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9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2022 ;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iii.Nommer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Mudford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Zachariah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Mwandenga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, Vice-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pour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>-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L’Honorable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Janet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Ramatoulie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Sallah-Njie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Comité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VIH pour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iv.Renouveler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 pour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experts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suivants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Christian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Garuka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Nsabimana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l’Est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) ;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-M.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Fogué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Dzutué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Centrale) ;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-Mme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Nyasha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Constance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Chingore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australe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) ;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v.Nommer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pour la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même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période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membre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expert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suivant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 :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  <w:t>-Mme Yvonne Ferguson (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l’Ouest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). </w:t>
      </w:r>
      <w:r w:rsidRPr="002B2D8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vi.Demande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la publication d'un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nouvel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appel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candidatures pour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l'adhésion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d'experts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groupe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travail pour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du Nord, avec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immédiat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l'exigence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représentation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géographique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stipulée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B2D84">
        <w:rPr>
          <w:rFonts w:asciiTheme="minorHAnsi" w:hAnsiTheme="minorHAnsi" w:cstheme="minorHAnsi"/>
          <w:color w:val="53575A"/>
          <w:sz w:val="23"/>
          <w:szCs w:val="23"/>
        </w:rPr>
        <w:t>spéciaux</w:t>
      </w:r>
      <w:proofErr w:type="spellEnd"/>
      <w:r w:rsidRPr="002B2D8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B2D84" w:rsidRPr="002B2D84" w:rsidRDefault="002B2D84" w:rsidP="002B2D84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2B2D8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à Banjul, </w:t>
      </w:r>
      <w:proofErr w:type="spellStart"/>
      <w:r w:rsidRPr="002B2D8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B2D8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le 09 </w:t>
      </w:r>
      <w:proofErr w:type="spellStart"/>
      <w:r w:rsidRPr="002B2D8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B2D8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2022</w:t>
      </w:r>
    </w:p>
    <w:p w:rsidR="002B2D84" w:rsidRDefault="002B2D84"/>
    <w:sectPr w:rsidR="002B2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4"/>
    <w:rsid w:val="002B2D84"/>
    <w:rsid w:val="00A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B622F"/>
  <w15:chartTrackingRefBased/>
  <w15:docId w15:val="{4B004447-D3EB-48FE-868C-1FAC40B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2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D8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2B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text-align-right">
    <w:name w:val="text-align-right"/>
    <w:basedOn w:val="Normal"/>
    <w:rsid w:val="002B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2B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2023-06-15T14:57:00Z</dcterms:created>
  <dcterms:modified xsi:type="dcterms:W3CDTF">2023-06-15T14:59:00Z</dcterms:modified>
</cp:coreProperties>
</file>