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C35" w:rsidRPr="00B77C35" w:rsidRDefault="00B77C35" w:rsidP="00B77C35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conduite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tenir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par la Commission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en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cas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retard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prolongé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dans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la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soumission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du Rapport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étatique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Initial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conformément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l’article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62 de la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Charte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Africaine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des Droits de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l’Homme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des 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Peuples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(</w:t>
      </w:r>
      <w:proofErr w:type="spellStart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Approche</w:t>
      </w:r>
      <w:proofErr w:type="spellEnd"/>
      <w:r w:rsidRPr="00B77C35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proactive) CADHP/Res.566</w:t>
      </w:r>
    </w:p>
    <w:bookmarkEnd w:id="0"/>
    <w:p w:rsidR="00B77C35" w:rsidRPr="00B77C35" w:rsidRDefault="00B77C35" w:rsidP="00B77C35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B77C35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B77C35">
        <w:rPr>
          <w:rFonts w:eastAsia="Times New Roman" w:cstheme="minorHAnsi"/>
          <w:color w:val="231F20"/>
          <w:sz w:val="23"/>
          <w:szCs w:val="23"/>
          <w:lang w:eastAsia="en-ZA"/>
        </w:rPr>
        <w:t>Aoû</w:t>
      </w:r>
      <w:proofErr w:type="spellEnd"/>
      <w:r w:rsidRPr="00B77C35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04, 2023</w:t>
      </w:r>
    </w:p>
    <w:p w:rsidR="00B85997" w:rsidRPr="00B77C35" w:rsidRDefault="00B85997">
      <w:pPr>
        <w:rPr>
          <w:rFonts w:cstheme="minorHAnsi"/>
        </w:rPr>
      </w:pP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La Commission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réunie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76e Session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tenue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du 19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juillet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 02 </w:t>
      </w:r>
      <w:proofErr w:type="spellStart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aout</w:t>
      </w:r>
      <w:proofErr w:type="spellEnd"/>
      <w:r w:rsidRPr="00B77C35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2023: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son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promotion et de protection des droits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45(1) (b)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donne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de "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Formuler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servir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base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l'adoption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textes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législatifs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gouvernements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permettent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résoudre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problèmes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juridiques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jouissance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fondamentales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";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que "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s'engage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deux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compter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la date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d'entrée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vigueur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un Rapport sur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d'ordre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législatif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prises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donner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aux droits et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libertés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garantis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" ;</w:t>
      </w:r>
      <w:proofErr w:type="gramEnd"/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26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relatif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aux Droits de la Femme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(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Maputo), qui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que "Les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assurent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niveau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national et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incorporent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présentés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termes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des indications sur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prises pour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pleine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droits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reconnus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" ;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Considérant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14-4 de la Convention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l'Union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sur la Protection et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l'Assistance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Personnes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Déplacées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(Convention de Kampala), qui dispose que "Les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Rapport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[…]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indiquent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mesures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législatives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qu’ils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prises pour donner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Convention </w:t>
      </w:r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" ;</w:t>
      </w:r>
      <w:proofErr w:type="gramEnd"/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80(2)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2020 de la Commission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l'Homme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prévoit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que :</w:t>
      </w:r>
      <w:proofErr w:type="gram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«Les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représentants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sont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tenus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aux questions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préparées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ainsi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qu’aux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questions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et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fournir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échéant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autre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information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supplémentaire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demandée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pendant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après la session.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Lorsque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questions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demandes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été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formulées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la session,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demandé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répondre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écrit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arrivant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expiration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avant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session.»</w:t>
      </w:r>
      <w:proofErr w:type="gramEnd"/>
      <w:r w:rsidRPr="00B77C35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Ayant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l'esprit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Règle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81(2)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Règlement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Intérieur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qui stipule que: «Au début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avise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la Commission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tous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non-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soumission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Rapports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d’informations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supplémentaires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requises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Commission.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le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Président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la Commission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adresser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aux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concernés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par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l’intermédiaire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Secrétaire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lettre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relance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indiquant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la date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laquelle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le Rapport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informations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requises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devraient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reçus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.»</w:t>
      </w:r>
      <w:proofErr w:type="gram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77C35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Se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référant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différentes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décisions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Conseil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Exécutif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qui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demandent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26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Maputo et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14 de la Convention de </w:t>
      </w:r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Kampala ;</w:t>
      </w:r>
      <w:proofErr w:type="gramEnd"/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ACHPR/Res. 108(XXXXI)07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réitérant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l'importance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respect des obligations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Rapports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Rappelant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également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CADHP/Rés.517(LXX) 2022 sur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méthode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computation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délais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relatifs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présentation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Rapports </w:t>
      </w:r>
      <w:proofErr w:type="spellStart"/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77C3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Marquant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préoccupation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qu’à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jour, six (06)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présenté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Rapports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Initiaux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dus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certains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depuis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plus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trente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-cinq (35) </w:t>
      </w:r>
      <w:proofErr w:type="spellStart"/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  <w:r w:rsidRPr="00B77C35">
        <w:rPr>
          <w:rFonts w:asciiTheme="minorHAnsi" w:hAnsiTheme="minorHAnsi" w:cstheme="minorHAnsi"/>
          <w:color w:val="53575A"/>
          <w:sz w:val="23"/>
          <w:szCs w:val="23"/>
        </w:rPr>
        <w:t> 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Reconnaissant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l'absence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directives pour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détermination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conduite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tenir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non-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soumission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Rapports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Périodique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 à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gram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Commission :</w:t>
      </w:r>
      <w:proofErr w:type="gramEnd"/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77C35">
        <w:rPr>
          <w:rFonts w:asciiTheme="minorHAnsi" w:hAnsiTheme="minorHAnsi" w:cstheme="minorHAnsi"/>
          <w:color w:val="53575A"/>
          <w:sz w:val="23"/>
          <w:szCs w:val="23"/>
        </w:rPr>
        <w:t>1.</w:t>
      </w:r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Décide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 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d'adopter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qui suit :</w:t>
      </w:r>
      <w:r w:rsidRPr="00B77C35">
        <w:rPr>
          <w:rFonts w:asciiTheme="minorHAnsi" w:hAnsiTheme="minorHAnsi" w:cstheme="minorHAnsi"/>
          <w:color w:val="53575A"/>
          <w:sz w:val="23"/>
          <w:szCs w:val="23"/>
        </w:rPr>
        <w:br/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.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cas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retard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prolongé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la part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 qui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n’ont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pas encore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soumis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Rapport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étatique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Initial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la Commission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après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réception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proposition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Commissaire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Rapporteur,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adresser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questions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écrites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dispositions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 ;</w:t>
      </w:r>
      <w:r w:rsidRPr="00B77C3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ii.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saisi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tenu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d’élaborer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un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raisonnable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il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sera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indiqué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 la Commission et de les faire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parvenir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la Commission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limite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délai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imparti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B77C3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iii. La Commission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peut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inviter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présenter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lesdites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d’une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Session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publique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afin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susciter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un dialogue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constructif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avec 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Commissaires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; et</w:t>
      </w:r>
      <w:r w:rsidRPr="00B77C35">
        <w:rPr>
          <w:rFonts w:asciiTheme="minorHAnsi" w:hAnsiTheme="minorHAnsi" w:cstheme="minorHAnsi"/>
          <w:color w:val="53575A"/>
          <w:sz w:val="23"/>
          <w:szCs w:val="23"/>
        </w:rPr>
        <w:br/>
        <w:t xml:space="preserve">iv. À la lumière des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réponses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et du dialogue qui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s’en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suit, la Commission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adoptera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Observations Finales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l’attention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l’État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Partie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concerné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;  </w:t>
      </w:r>
    </w:p>
    <w:p w:rsidR="00B77C35" w:rsidRPr="00B77C35" w:rsidRDefault="00B77C35" w:rsidP="00B77C35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B77C35">
        <w:rPr>
          <w:rFonts w:asciiTheme="minorHAnsi" w:hAnsiTheme="minorHAnsi" w:cstheme="minorHAnsi"/>
          <w:color w:val="53575A"/>
          <w:sz w:val="23"/>
          <w:szCs w:val="23"/>
        </w:rPr>
        <w:t>2. </w:t>
      </w:r>
      <w:proofErr w:type="spellStart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Appelle</w:t>
      </w:r>
      <w:proofErr w:type="spellEnd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 </w:t>
      </w:r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les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États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parties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redoubler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d'efforts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pour se conformer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l'obligation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soumettre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des Rapports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Périodiques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bonne et due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forme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62 de la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26 du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Protocole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de Maputo, à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l'Article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14 de la Convention de Kampala et aux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autres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normes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Fonts w:asciiTheme="minorHAnsi" w:hAnsiTheme="minorHAnsi" w:cstheme="minorHAnsi"/>
          <w:color w:val="53575A"/>
          <w:sz w:val="23"/>
          <w:szCs w:val="23"/>
        </w:rPr>
        <w:t>pertinentes</w:t>
      </w:r>
      <w:proofErr w:type="spellEnd"/>
      <w:r w:rsidRPr="00B77C35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B77C35" w:rsidRPr="00B77C35" w:rsidRDefault="00B77C35" w:rsidP="00B77C35">
      <w:pPr>
        <w:pStyle w:val="text-align-right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virtuellement</w:t>
      </w:r>
      <w:proofErr w:type="spellEnd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gramStart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le  2</w:t>
      </w:r>
      <w:proofErr w:type="gramEnd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août</w:t>
      </w:r>
      <w:proofErr w:type="spellEnd"/>
      <w:r w:rsidRPr="00B77C35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2023</w:t>
      </w:r>
    </w:p>
    <w:p w:rsidR="00B77C35" w:rsidRDefault="00B77C35"/>
    <w:sectPr w:rsidR="00B77C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35"/>
    <w:rsid w:val="00B77C35"/>
    <w:rsid w:val="00B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DF50C4"/>
  <w15:chartTrackingRefBased/>
  <w15:docId w15:val="{4B653F98-02D8-44F2-BDCC-3DEF0E37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77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C35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B7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B77C35"/>
    <w:rPr>
      <w:i/>
      <w:iCs/>
    </w:rPr>
  </w:style>
  <w:style w:type="character" w:styleId="Strong">
    <w:name w:val="Strong"/>
    <w:basedOn w:val="DefaultParagraphFont"/>
    <w:uiPriority w:val="22"/>
    <w:qFormat/>
    <w:rsid w:val="00B77C35"/>
    <w:rPr>
      <w:b/>
      <w:bCs/>
    </w:rPr>
  </w:style>
  <w:style w:type="paragraph" w:customStyle="1" w:styleId="text-align-right">
    <w:name w:val="text-align-right"/>
    <w:basedOn w:val="Normal"/>
    <w:rsid w:val="00B77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410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12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171006052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842</Words>
  <Characters>4805</Characters>
  <Application>Microsoft Office Word</Application>
  <DocSecurity>0</DocSecurity>
  <Lines>40</Lines>
  <Paragraphs>11</Paragraphs>
  <ScaleCrop>false</ScaleCrop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2023-08-17T14:06:00Z</dcterms:created>
  <dcterms:modified xsi:type="dcterms:W3CDTF">2023-08-17T14:07:00Z</dcterms:modified>
</cp:coreProperties>
</file>