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0" w:type="auto"/>
        <w:jc w:val="center"/>
        <w:tblLayout w:type="fixed"/>
        <w:tblCellMar>
          <w:left w:w="10" w:type="dxa"/>
          <w:right w:w="10" w:type="dxa"/>
        </w:tblCellMar>
        <w:tblLook w:val="04A0" w:firstRow="1" w:lastRow="0" w:firstColumn="1" w:lastColumn="0" w:noHBand="0" w:noVBand="1"/>
      </w:tblPr>
      <w:tblGrid>
        <w:gridCol w:w="878"/>
        <w:gridCol w:w="3034"/>
        <w:gridCol w:w="4517"/>
        <w:gridCol w:w="1114"/>
      </w:tblGrid>
      <w:tr w:rsidR="00154CCC">
        <w:tblPrEx>
          <w:tblCellMar>
            <w:top w:w="0" w:type="dxa"/>
            <w:bottom w:w="0" w:type="dxa"/>
          </w:tblCellMar>
        </w:tblPrEx>
        <w:trPr>
          <w:trHeight w:hRule="exact" w:val="322"/>
          <w:jc w:val="center"/>
        </w:trPr>
        <w:tc>
          <w:tcPr>
            <w:tcW w:w="878" w:type="dxa"/>
            <w:tcBorders>
              <w:top w:val="single" w:sz="4" w:space="0" w:color="auto"/>
              <w:left w:val="single" w:sz="4" w:space="0" w:color="auto"/>
            </w:tcBorders>
            <w:shd w:val="clear" w:color="auto" w:fill="FFFFFF"/>
            <w:vAlign w:val="bottom"/>
          </w:tcPr>
          <w:p w:rsidR="00154CCC" w:rsidRDefault="007D02F6">
            <w:pPr>
              <w:pStyle w:val="Other0"/>
              <w:spacing w:after="0"/>
              <w:jc w:val="center"/>
              <w:rPr>
                <w:sz w:val="22"/>
                <w:szCs w:val="22"/>
              </w:rPr>
            </w:pPr>
            <w:r>
              <w:rPr>
                <w:b/>
                <w:bCs/>
                <w:sz w:val="22"/>
                <w:szCs w:val="22"/>
              </w:rPr>
              <w:t>No.</w:t>
            </w:r>
          </w:p>
        </w:tc>
        <w:tc>
          <w:tcPr>
            <w:tcW w:w="3034" w:type="dxa"/>
            <w:tcBorders>
              <w:top w:val="single" w:sz="4" w:space="0" w:color="auto"/>
              <w:left w:val="single" w:sz="4" w:space="0" w:color="auto"/>
            </w:tcBorders>
            <w:shd w:val="clear" w:color="auto" w:fill="FFFFFF"/>
            <w:vAlign w:val="bottom"/>
          </w:tcPr>
          <w:p w:rsidR="00154CCC" w:rsidRDefault="007D02F6">
            <w:pPr>
              <w:pStyle w:val="Other0"/>
              <w:spacing w:after="0"/>
              <w:jc w:val="center"/>
              <w:rPr>
                <w:sz w:val="20"/>
                <w:szCs w:val="20"/>
              </w:rPr>
            </w:pPr>
            <w:r>
              <w:rPr>
                <w:b/>
                <w:bCs/>
                <w:sz w:val="20"/>
                <w:szCs w:val="20"/>
              </w:rPr>
              <w:t>Decisions</w:t>
            </w:r>
          </w:p>
        </w:tc>
        <w:tc>
          <w:tcPr>
            <w:tcW w:w="4517" w:type="dxa"/>
            <w:tcBorders>
              <w:top w:val="single" w:sz="4" w:space="0" w:color="auto"/>
              <w:left w:val="single" w:sz="4" w:space="0" w:color="auto"/>
            </w:tcBorders>
            <w:shd w:val="clear" w:color="auto" w:fill="FFFFFF"/>
            <w:vAlign w:val="bottom"/>
          </w:tcPr>
          <w:p w:rsidR="00154CCC" w:rsidRDefault="007D02F6">
            <w:pPr>
              <w:pStyle w:val="Other0"/>
              <w:spacing w:after="0"/>
              <w:jc w:val="center"/>
              <w:rPr>
                <w:sz w:val="22"/>
                <w:szCs w:val="22"/>
              </w:rPr>
            </w:pPr>
            <w:r>
              <w:rPr>
                <w:b/>
                <w:bCs/>
                <w:sz w:val="22"/>
                <w:szCs w:val="22"/>
              </w:rPr>
              <w:t>Title</w:t>
            </w:r>
          </w:p>
        </w:tc>
        <w:tc>
          <w:tcPr>
            <w:tcW w:w="1114" w:type="dxa"/>
            <w:tcBorders>
              <w:top w:val="single" w:sz="4" w:space="0" w:color="auto"/>
              <w:left w:val="single" w:sz="4" w:space="0" w:color="auto"/>
              <w:right w:val="single" w:sz="4" w:space="0" w:color="auto"/>
            </w:tcBorders>
            <w:shd w:val="clear" w:color="auto" w:fill="FFFFFF"/>
            <w:vAlign w:val="bottom"/>
          </w:tcPr>
          <w:p w:rsidR="00154CCC" w:rsidRDefault="007D02F6">
            <w:pPr>
              <w:pStyle w:val="Other0"/>
              <w:spacing w:after="0"/>
              <w:jc w:val="center"/>
              <w:rPr>
                <w:sz w:val="22"/>
                <w:szCs w:val="22"/>
              </w:rPr>
            </w:pPr>
            <w:r>
              <w:rPr>
                <w:b/>
                <w:bCs/>
                <w:sz w:val="22"/>
                <w:szCs w:val="22"/>
              </w:rPr>
              <w:t>Page(s)</w:t>
            </w:r>
          </w:p>
        </w:tc>
      </w:tr>
      <w:tr w:rsidR="00154CCC">
        <w:tblPrEx>
          <w:tblCellMar>
            <w:top w:w="0" w:type="dxa"/>
            <w:bottom w:w="0" w:type="dxa"/>
          </w:tblCellMar>
        </w:tblPrEx>
        <w:trPr>
          <w:trHeight w:hRule="exact" w:val="562"/>
          <w:jc w:val="center"/>
        </w:trPr>
        <w:tc>
          <w:tcPr>
            <w:tcW w:w="878" w:type="dxa"/>
            <w:tcBorders>
              <w:top w:val="single" w:sz="4" w:space="0" w:color="auto"/>
              <w:left w:val="single" w:sz="4" w:space="0" w:color="auto"/>
              <w:bottom w:val="single" w:sz="4" w:space="0" w:color="auto"/>
            </w:tcBorders>
            <w:shd w:val="clear" w:color="auto" w:fill="FFFFFF"/>
          </w:tcPr>
          <w:p w:rsidR="00154CCC" w:rsidRDefault="007D02F6">
            <w:pPr>
              <w:pStyle w:val="Other0"/>
              <w:spacing w:after="0"/>
              <w:ind w:firstLine="300"/>
              <w:rPr>
                <w:sz w:val="22"/>
                <w:szCs w:val="22"/>
              </w:rPr>
            </w:pPr>
            <w:r>
              <w:rPr>
                <w:b/>
                <w:bCs/>
                <w:sz w:val="22"/>
                <w:szCs w:val="22"/>
              </w:rPr>
              <w:t>16</w:t>
            </w:r>
          </w:p>
        </w:tc>
        <w:tc>
          <w:tcPr>
            <w:tcW w:w="3034" w:type="dxa"/>
            <w:tcBorders>
              <w:top w:val="single" w:sz="4" w:space="0" w:color="auto"/>
              <w:left w:val="single" w:sz="4" w:space="0" w:color="auto"/>
              <w:bottom w:val="single" w:sz="4" w:space="0" w:color="auto"/>
            </w:tcBorders>
            <w:shd w:val="clear" w:color="auto" w:fill="FFFFFF"/>
          </w:tcPr>
          <w:p w:rsidR="00154CCC" w:rsidRDefault="007D02F6">
            <w:pPr>
              <w:pStyle w:val="Other0"/>
              <w:spacing w:after="0"/>
              <w:rPr>
                <w:sz w:val="20"/>
                <w:szCs w:val="20"/>
              </w:rPr>
            </w:pPr>
            <w:r>
              <w:rPr>
                <w:b/>
                <w:bCs/>
                <w:sz w:val="20"/>
                <w:szCs w:val="20"/>
              </w:rPr>
              <w:t>AHG/Decl. 2 (XXXVIII)</w:t>
            </w:r>
          </w:p>
        </w:tc>
        <w:tc>
          <w:tcPr>
            <w:tcW w:w="4517" w:type="dxa"/>
            <w:tcBorders>
              <w:top w:val="single" w:sz="4" w:space="0" w:color="auto"/>
              <w:left w:val="single" w:sz="4" w:space="0" w:color="auto"/>
              <w:bottom w:val="single" w:sz="4" w:space="0" w:color="auto"/>
            </w:tcBorders>
            <w:shd w:val="clear" w:color="auto" w:fill="FFFFFF"/>
          </w:tcPr>
          <w:p w:rsidR="00154CCC" w:rsidRDefault="007D02F6">
            <w:pPr>
              <w:pStyle w:val="Other0"/>
              <w:spacing w:after="0"/>
              <w:jc w:val="center"/>
              <w:rPr>
                <w:sz w:val="22"/>
                <w:szCs w:val="22"/>
              </w:rPr>
            </w:pPr>
            <w:r>
              <w:rPr>
                <w:sz w:val="22"/>
                <w:szCs w:val="22"/>
              </w:rPr>
              <w:t>Declaration on developments in Angola</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54CCC" w:rsidRDefault="007D02F6">
            <w:pPr>
              <w:pStyle w:val="Other0"/>
              <w:spacing w:after="0"/>
              <w:jc w:val="center"/>
              <w:rPr>
                <w:sz w:val="22"/>
                <w:szCs w:val="22"/>
              </w:rPr>
            </w:pPr>
            <w:r>
              <w:rPr>
                <w:b/>
                <w:bCs/>
                <w:sz w:val="22"/>
                <w:szCs w:val="22"/>
              </w:rPr>
              <w:t>1</w:t>
            </w:r>
          </w:p>
        </w:tc>
      </w:tr>
    </w:tbl>
    <w:p w:rsidR="00154CCC" w:rsidRDefault="007D02F6">
      <w:pPr>
        <w:pStyle w:val="Tablecaption0"/>
      </w:pPr>
      <w:r>
        <w:t>DECISION ON THE 15™ ANNUAL ACTIVITY REPORT OF THE AFRICAN COMMISSION ON HUMAN AND PEOPLE’S RIGHTS</w:t>
      </w:r>
    </w:p>
    <w:p w:rsidR="00154CCC" w:rsidRDefault="00154CCC">
      <w:pPr>
        <w:spacing w:after="519" w:line="1" w:lineRule="exact"/>
      </w:pPr>
    </w:p>
    <w:p w:rsidR="00154CCC" w:rsidRDefault="007D02F6">
      <w:pPr>
        <w:pStyle w:val="BodyText"/>
        <w:spacing w:line="264" w:lineRule="auto"/>
        <w:ind w:firstLine="840"/>
        <w:rPr>
          <w:sz w:val="22"/>
          <w:szCs w:val="22"/>
        </w:rPr>
      </w:pPr>
      <w:r>
        <w:rPr>
          <w:b/>
          <w:bCs/>
          <w:sz w:val="22"/>
          <w:szCs w:val="22"/>
        </w:rPr>
        <w:t>The Assembly,</w:t>
      </w:r>
    </w:p>
    <w:p w:rsidR="00154CCC" w:rsidRDefault="007D02F6" w:rsidP="007D02F6">
      <w:pPr>
        <w:pStyle w:val="BodyText"/>
        <w:tabs>
          <w:tab w:val="left" w:pos="2030"/>
        </w:tabs>
        <w:ind w:left="2020" w:hanging="500"/>
        <w:jc w:val="both"/>
      </w:pPr>
      <w:bookmarkStart w:id="0" w:name="bookmark0"/>
      <w:bookmarkEnd w:id="0"/>
      <w:r>
        <w:rPr>
          <w:b/>
          <w:bCs/>
          <w:sz w:val="22"/>
          <w:szCs w:val="22"/>
        </w:rPr>
        <w:t>1.</w:t>
      </w:r>
      <w:r>
        <w:rPr>
          <w:b/>
          <w:bCs/>
          <w:sz w:val="22"/>
          <w:szCs w:val="22"/>
        </w:rPr>
        <w:tab/>
      </w:r>
      <w:r>
        <w:rPr>
          <w:b/>
          <w:bCs/>
          <w:sz w:val="22"/>
          <w:szCs w:val="22"/>
        </w:rPr>
        <w:t xml:space="preserve">TAKES NOTE WITH SATISFACTION </w:t>
      </w:r>
      <w:r>
        <w:t>of the 15</w:t>
      </w:r>
      <w:r>
        <w:rPr>
          <w:vertAlign w:val="superscript"/>
        </w:rPr>
        <w:t>th</w:t>
      </w:r>
      <w:r>
        <w:t xml:space="preserve"> Annual Activity Report of the African Commission on Human and People’s Rights and </w:t>
      </w:r>
      <w:r>
        <w:rPr>
          <w:b/>
          <w:bCs/>
          <w:sz w:val="22"/>
          <w:szCs w:val="22"/>
        </w:rPr>
        <w:t xml:space="preserve">COMMENDS </w:t>
      </w:r>
      <w:r>
        <w:t>the African Commission for the excellent work accomplished in the past year in the area of promotion and protection of human</w:t>
      </w:r>
      <w:r>
        <w:t xml:space="preserve"> rights;</w:t>
      </w:r>
    </w:p>
    <w:p w:rsidR="00154CCC" w:rsidRDefault="007D02F6" w:rsidP="007D02F6">
      <w:pPr>
        <w:pStyle w:val="BodyText"/>
        <w:tabs>
          <w:tab w:val="left" w:pos="2030"/>
        </w:tabs>
        <w:ind w:left="2020" w:hanging="500"/>
        <w:jc w:val="both"/>
      </w:pPr>
      <w:bookmarkStart w:id="1" w:name="bookmark1"/>
      <w:bookmarkEnd w:id="1"/>
      <w:r>
        <w:rPr>
          <w:b/>
          <w:bCs/>
          <w:sz w:val="22"/>
          <w:szCs w:val="22"/>
        </w:rPr>
        <w:t>2.</w:t>
      </w:r>
      <w:r>
        <w:rPr>
          <w:b/>
          <w:bCs/>
          <w:sz w:val="22"/>
          <w:szCs w:val="22"/>
        </w:rPr>
        <w:tab/>
      </w:r>
      <w:r>
        <w:rPr>
          <w:b/>
          <w:bCs/>
          <w:sz w:val="22"/>
          <w:szCs w:val="22"/>
        </w:rPr>
        <w:t xml:space="preserve">CALLS ON </w:t>
      </w:r>
      <w:r>
        <w:t>the African Commission to propose ways and means of strengthening the African system for the promotion and protection of Human and People’s Rights within the African Union, and submit a report thereon at the next session of the Assembly;</w:t>
      </w:r>
    </w:p>
    <w:p w:rsidR="00154CCC" w:rsidRDefault="007D02F6" w:rsidP="007D02F6">
      <w:pPr>
        <w:pStyle w:val="BodyText"/>
        <w:tabs>
          <w:tab w:val="left" w:pos="2030"/>
        </w:tabs>
        <w:ind w:left="2020" w:hanging="500"/>
        <w:jc w:val="both"/>
      </w:pPr>
      <w:bookmarkStart w:id="2" w:name="bookmark2"/>
      <w:bookmarkEnd w:id="2"/>
      <w:r>
        <w:rPr>
          <w:b/>
          <w:bCs/>
          <w:sz w:val="22"/>
          <w:szCs w:val="22"/>
        </w:rPr>
        <w:t>3.</w:t>
      </w:r>
      <w:r>
        <w:rPr>
          <w:b/>
          <w:bCs/>
          <w:sz w:val="22"/>
          <w:szCs w:val="22"/>
        </w:rPr>
        <w:tab/>
      </w:r>
      <w:r>
        <w:rPr>
          <w:b/>
          <w:bCs/>
          <w:sz w:val="22"/>
          <w:szCs w:val="22"/>
        </w:rPr>
        <w:t xml:space="preserve">CALLS UPON </w:t>
      </w:r>
      <w:r>
        <w:t>Member States, which have not yet done so, to expedite the process of ratification of the Protocol to the African Charter on Human and People’s Rights on the Establishment of an African Court on Human and People’s Rights in order to have this im</w:t>
      </w:r>
      <w:r>
        <w:t>portant instrument in force before the next session (July 2003);</w:t>
      </w:r>
    </w:p>
    <w:p w:rsidR="00154CCC" w:rsidRDefault="007D02F6" w:rsidP="007D02F6">
      <w:pPr>
        <w:pStyle w:val="BodyText"/>
        <w:tabs>
          <w:tab w:val="left" w:pos="2030"/>
        </w:tabs>
        <w:ind w:left="2020" w:hanging="500"/>
        <w:jc w:val="both"/>
      </w:pPr>
      <w:bookmarkStart w:id="3" w:name="bookmark3"/>
      <w:bookmarkEnd w:id="3"/>
      <w:r>
        <w:rPr>
          <w:b/>
          <w:bCs/>
          <w:sz w:val="22"/>
          <w:szCs w:val="22"/>
        </w:rPr>
        <w:t>4.</w:t>
      </w:r>
      <w:r>
        <w:rPr>
          <w:b/>
          <w:bCs/>
          <w:sz w:val="22"/>
          <w:szCs w:val="22"/>
        </w:rPr>
        <w:tab/>
      </w:r>
      <w:r>
        <w:rPr>
          <w:b/>
          <w:bCs/>
          <w:sz w:val="22"/>
          <w:szCs w:val="22"/>
        </w:rPr>
        <w:t xml:space="preserve">REQUESTS </w:t>
      </w:r>
      <w:r>
        <w:t>the Secretary General to take the necessary action in order to complete as soon as possible, the elaboration of the Draft Protocol to the African Charter on Human and People’s Rights</w:t>
      </w:r>
      <w:r>
        <w:t xml:space="preserve"> relating to the Rights of Women in Africa and to make sure that all Member States are fully involved in the process;</w:t>
      </w:r>
    </w:p>
    <w:p w:rsidR="00154CCC" w:rsidRDefault="007D02F6" w:rsidP="007D02F6">
      <w:pPr>
        <w:pStyle w:val="BodyText"/>
        <w:tabs>
          <w:tab w:val="left" w:pos="2030"/>
        </w:tabs>
        <w:ind w:left="2020" w:hanging="500"/>
        <w:jc w:val="both"/>
      </w:pPr>
      <w:bookmarkStart w:id="4" w:name="bookmark4"/>
      <w:bookmarkEnd w:id="4"/>
      <w:r>
        <w:rPr>
          <w:b/>
          <w:bCs/>
          <w:sz w:val="22"/>
          <w:szCs w:val="22"/>
        </w:rPr>
        <w:t>5.</w:t>
      </w:r>
      <w:r>
        <w:rPr>
          <w:b/>
          <w:bCs/>
          <w:sz w:val="22"/>
          <w:szCs w:val="22"/>
        </w:rPr>
        <w:tab/>
      </w:r>
      <w:r>
        <w:rPr>
          <w:b/>
          <w:bCs/>
          <w:sz w:val="22"/>
          <w:szCs w:val="22"/>
        </w:rPr>
        <w:t xml:space="preserve">AUTHORIZES </w:t>
      </w:r>
      <w:r>
        <w:t>the publication of the 15</w:t>
      </w:r>
      <w:r>
        <w:rPr>
          <w:vertAlign w:val="superscript"/>
        </w:rPr>
        <w:t>th</w:t>
      </w:r>
      <w:r>
        <w:t xml:space="preserve"> Annual Activity Report of the African Commission on Human and People’s Rights, pursuant to Article </w:t>
      </w:r>
      <w:r>
        <w:t>59 of the African Charter on Human and People’s Rights.</w:t>
      </w:r>
    </w:p>
    <w:sectPr w:rsidR="00154CCC">
      <w:pgSz w:w="11909" w:h="16840"/>
      <w:pgMar w:top="1717" w:right="688" w:bottom="3594" w:left="82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D02F6">
      <w:r>
        <w:separator/>
      </w:r>
    </w:p>
  </w:endnote>
  <w:endnote w:type="continuationSeparator" w:id="0">
    <w:p w:rsidR="00000000" w:rsidRDefault="007D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4CCC" w:rsidRDefault="007D02F6">
      <w:r>
        <w:separator/>
      </w:r>
    </w:p>
  </w:footnote>
  <w:footnote w:type="continuationSeparator" w:id="0">
    <w:p w:rsidR="00154CCC" w:rsidRDefault="007D0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51208"/>
    <w:multiLevelType w:val="multilevel"/>
    <w:tmpl w:val="C56C4B7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40865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CC"/>
    <w:rsid w:val="00154CCC"/>
    <w:rsid w:val="007D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caption">
    <w:name w:val="Table caption_"/>
    <w:basedOn w:val="DefaultParagraphFont"/>
    <w:link w:val="Tablecaption0"/>
    <w:rPr>
      <w:rFonts w:ascii="Bookman Old Style" w:eastAsia="Bookman Old Style" w:hAnsi="Bookman Old Style" w:cs="Bookman Old Style"/>
      <w:b/>
      <w:bCs/>
      <w:i w:val="0"/>
      <w:iCs w:val="0"/>
      <w:smallCaps w:val="0"/>
      <w:strike w:val="0"/>
      <w:sz w:val="22"/>
      <w:szCs w:val="22"/>
      <w:u w:val="single"/>
      <w:shd w:val="clear" w:color="auto" w:fill="auto"/>
    </w:rPr>
  </w:style>
  <w:style w:type="character" w:customStyle="1" w:styleId="Other">
    <w:name w:val="Other_"/>
    <w:basedOn w:val="DefaultParagraphFont"/>
    <w:link w:val="Other0"/>
    <w:rPr>
      <w:rFonts w:ascii="Bookman Old Style" w:eastAsia="Bookman Old Style" w:hAnsi="Bookman Old Style" w:cs="Bookman Old Style"/>
      <w:b w:val="0"/>
      <w:bCs w:val="0"/>
      <w:i w:val="0"/>
      <w:iCs w:val="0"/>
      <w:smallCaps w:val="0"/>
      <w:strike w:val="0"/>
      <w:sz w:val="24"/>
      <w:szCs w:val="24"/>
      <w:u w:val="none"/>
      <w:shd w:val="clear" w:color="auto" w:fill="auto"/>
    </w:rPr>
  </w:style>
  <w:style w:type="character" w:customStyle="1" w:styleId="BodyTextChar">
    <w:name w:val="Body Text Char"/>
    <w:basedOn w:val="DefaultParagraphFont"/>
    <w:link w:val="BodyText"/>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customStyle="1" w:styleId="Tablecaption0">
    <w:name w:val="Table caption"/>
    <w:basedOn w:val="Normal"/>
    <w:link w:val="Tablecaption"/>
    <w:pPr>
      <w:spacing w:line="269" w:lineRule="auto"/>
      <w:jc w:val="center"/>
    </w:pPr>
    <w:rPr>
      <w:rFonts w:ascii="Bookman Old Style" w:eastAsia="Bookman Old Style" w:hAnsi="Bookman Old Style" w:cs="Bookman Old Style"/>
      <w:b/>
      <w:bCs/>
      <w:sz w:val="22"/>
      <w:szCs w:val="22"/>
      <w:u w:val="single"/>
    </w:rPr>
  </w:style>
  <w:style w:type="paragraph" w:customStyle="1" w:styleId="Other0">
    <w:name w:val="Other"/>
    <w:basedOn w:val="Normal"/>
    <w:link w:val="Other"/>
    <w:pPr>
      <w:spacing w:after="280"/>
    </w:pPr>
    <w:rPr>
      <w:rFonts w:ascii="Bookman Old Style" w:eastAsia="Bookman Old Style" w:hAnsi="Bookman Old Style" w:cs="Bookman Old Style"/>
    </w:rPr>
  </w:style>
  <w:style w:type="paragraph" w:styleId="BodyText">
    <w:name w:val="Body Text"/>
    <w:basedOn w:val="Normal"/>
    <w:link w:val="BodyTextChar"/>
    <w:pPr>
      <w:spacing w:after="280"/>
    </w:pPr>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2022-10-23T08:01:00Z</dcterms:created>
  <dcterms:modified xsi:type="dcterms:W3CDTF">2022-10-23T08:01:00Z</dcterms:modified>
</cp:coreProperties>
</file>