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3BDA" w:rsidRDefault="005D785E">
      <w:pPr>
        <w:pStyle w:val="BodyText"/>
        <w:spacing w:after="50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DECISION ON THE 17™ ANNUAL ACTIVITY REPORT OF THE</w:t>
      </w:r>
      <w:r>
        <w:rPr>
          <w:b/>
          <w:bCs/>
          <w:sz w:val="22"/>
          <w:szCs w:val="22"/>
          <w:u w:val="single"/>
        </w:rPr>
        <w:br/>
        <w:t>AFRICAN COMMISSION ON HUMAN AND PEOPLES’ RIGHTS</w:t>
      </w:r>
      <w:r>
        <w:rPr>
          <w:b/>
          <w:bCs/>
          <w:sz w:val="22"/>
          <w:szCs w:val="22"/>
          <w:u w:val="single"/>
        </w:rPr>
        <w:br/>
        <w:t>Doc. EX.CL/109 (V)</w:t>
      </w:r>
    </w:p>
    <w:p w:rsidR="009E3BDA" w:rsidRDefault="005D785E">
      <w:pPr>
        <w:pStyle w:val="BodyText"/>
        <w:spacing w:after="500"/>
        <w:ind w:firstLine="380"/>
        <w:rPr>
          <w:sz w:val="22"/>
          <w:szCs w:val="22"/>
        </w:rPr>
      </w:pPr>
      <w:r>
        <w:rPr>
          <w:b/>
          <w:bCs/>
          <w:sz w:val="22"/>
          <w:szCs w:val="22"/>
        </w:rPr>
        <w:t>The Assembly:</w:t>
      </w:r>
    </w:p>
    <w:p w:rsidR="009E3BDA" w:rsidRDefault="005D785E" w:rsidP="005D785E">
      <w:pPr>
        <w:pStyle w:val="BodyText"/>
        <w:tabs>
          <w:tab w:val="left" w:pos="1815"/>
        </w:tabs>
        <w:spacing w:after="260"/>
        <w:ind w:left="1820" w:hanging="780"/>
        <w:rPr>
          <w:sz w:val="22"/>
          <w:szCs w:val="22"/>
        </w:rPr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TAKES NOTE </w:t>
      </w:r>
      <w:r>
        <w:rPr>
          <w:sz w:val="22"/>
          <w:szCs w:val="22"/>
        </w:rPr>
        <w:t>of the 17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Activity Report of the African Commission on Human and Peoples’ Rights;</w:t>
      </w:r>
    </w:p>
    <w:p w:rsidR="009E3BDA" w:rsidRDefault="005D785E" w:rsidP="005D785E">
      <w:pPr>
        <w:pStyle w:val="BodyText"/>
        <w:tabs>
          <w:tab w:val="left" w:pos="1815"/>
        </w:tabs>
        <w:spacing w:after="260"/>
        <w:ind w:left="1820" w:hanging="780"/>
        <w:jc w:val="both"/>
        <w:rPr>
          <w:sz w:val="22"/>
          <w:szCs w:val="22"/>
        </w:rPr>
      </w:pPr>
      <w:bookmarkStart w:id="1" w:name="bookmark1"/>
      <w:bookmarkEnd w:id="1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REQUESTS </w:t>
      </w:r>
      <w:r>
        <w:rPr>
          <w:sz w:val="22"/>
          <w:szCs w:val="22"/>
        </w:rPr>
        <w:t>all the organs concerned to take the necessary steps to provide the Commission with the human, financial and material resources needed for its smooth functioning in ke</w:t>
      </w:r>
      <w:r>
        <w:rPr>
          <w:sz w:val="22"/>
          <w:szCs w:val="22"/>
        </w:rPr>
        <w:t>eping with Article 41 of the African Charter on Human and Peoples’ Rights and submit a report thereon to the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Ordinary Session;</w:t>
      </w:r>
    </w:p>
    <w:p w:rsidR="009E3BDA" w:rsidRDefault="005D785E" w:rsidP="005D785E">
      <w:pPr>
        <w:pStyle w:val="BodyText"/>
        <w:tabs>
          <w:tab w:val="left" w:pos="1815"/>
        </w:tabs>
        <w:spacing w:after="260"/>
        <w:ind w:left="1820" w:hanging="780"/>
        <w:jc w:val="both"/>
        <w:rPr>
          <w:sz w:val="22"/>
          <w:szCs w:val="22"/>
        </w:rPr>
      </w:pPr>
      <w:bookmarkStart w:id="2" w:name="bookmark2"/>
      <w:bookmarkEnd w:id="2"/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URGES </w:t>
      </w:r>
      <w:r>
        <w:rPr>
          <w:sz w:val="22"/>
          <w:szCs w:val="22"/>
        </w:rPr>
        <w:t>all Member States to cooperate with the ACHPR, and the various mechanisms it has put in place, and implement its decisi</w:t>
      </w:r>
      <w:r>
        <w:rPr>
          <w:sz w:val="22"/>
          <w:szCs w:val="22"/>
        </w:rPr>
        <w:t>ons in compliance with the provisions of the African Charter on Human and Peoples’ Rights;</w:t>
      </w:r>
    </w:p>
    <w:p w:rsidR="009E3BDA" w:rsidRDefault="005D785E" w:rsidP="005D785E">
      <w:pPr>
        <w:pStyle w:val="BodyText"/>
        <w:tabs>
          <w:tab w:val="left" w:pos="1815"/>
        </w:tabs>
        <w:spacing w:after="260"/>
        <w:ind w:left="1820" w:hanging="780"/>
        <w:jc w:val="both"/>
        <w:rPr>
          <w:sz w:val="22"/>
          <w:szCs w:val="22"/>
        </w:rPr>
      </w:pPr>
      <w:bookmarkStart w:id="3" w:name="bookmark3"/>
      <w:bookmarkEnd w:id="3"/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NOTES </w:t>
      </w:r>
      <w:r>
        <w:rPr>
          <w:sz w:val="22"/>
          <w:szCs w:val="22"/>
        </w:rPr>
        <w:t xml:space="preserve">that some ACHPR reports on the State Parties are presented without their observations; and </w:t>
      </w:r>
      <w:r>
        <w:rPr>
          <w:b/>
          <w:bCs/>
          <w:sz w:val="22"/>
          <w:szCs w:val="22"/>
        </w:rPr>
        <w:t xml:space="preserve">INVITES </w:t>
      </w:r>
      <w:r>
        <w:rPr>
          <w:sz w:val="22"/>
          <w:szCs w:val="22"/>
        </w:rPr>
        <w:t>ACHPR to ensure that in future its mission reports are submi</w:t>
      </w:r>
      <w:r>
        <w:rPr>
          <w:sz w:val="22"/>
          <w:szCs w:val="22"/>
        </w:rPr>
        <w:t>tted together with the comments of the State Parties concerned and to indicate the steps taken in this regard during the presentation of its annual activity report;</w:t>
      </w:r>
    </w:p>
    <w:p w:rsidR="009E3BDA" w:rsidRDefault="005D785E" w:rsidP="005D785E">
      <w:pPr>
        <w:pStyle w:val="BodyText"/>
        <w:tabs>
          <w:tab w:val="left" w:pos="1815"/>
        </w:tabs>
        <w:spacing w:after="260" w:line="233" w:lineRule="auto"/>
        <w:ind w:left="1820" w:hanging="780"/>
        <w:jc w:val="both"/>
        <w:rPr>
          <w:sz w:val="22"/>
          <w:szCs w:val="22"/>
        </w:rPr>
      </w:pPr>
      <w:bookmarkStart w:id="4" w:name="bookmark4"/>
      <w:bookmarkEnd w:id="4"/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SUSPENDS </w:t>
      </w:r>
      <w:r>
        <w:rPr>
          <w:sz w:val="22"/>
          <w:szCs w:val="22"/>
        </w:rPr>
        <w:t>the publication of the 17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Activity Report in accordance with paragraph 4 </w:t>
      </w:r>
      <w:r>
        <w:rPr>
          <w:sz w:val="22"/>
          <w:szCs w:val="22"/>
        </w:rPr>
        <w:t>above pending the possible observations by the Member States concerned;</w:t>
      </w:r>
    </w:p>
    <w:p w:rsidR="009E3BDA" w:rsidRDefault="005D785E" w:rsidP="005D785E">
      <w:pPr>
        <w:pStyle w:val="BodyText"/>
        <w:tabs>
          <w:tab w:val="left" w:pos="1815"/>
        </w:tabs>
        <w:spacing w:after="260" w:line="233" w:lineRule="auto"/>
        <w:ind w:left="1820" w:hanging="780"/>
        <w:jc w:val="both"/>
        <w:rPr>
          <w:sz w:val="22"/>
          <w:szCs w:val="22"/>
        </w:rPr>
      </w:pPr>
      <w:bookmarkStart w:id="5" w:name="bookmark5"/>
      <w:bookmarkEnd w:id="5"/>
      <w:r>
        <w:rPr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INVITES </w:t>
      </w:r>
      <w:r>
        <w:rPr>
          <w:sz w:val="22"/>
          <w:szCs w:val="22"/>
        </w:rPr>
        <w:t>all the State Parties concerned to submit to the ACHPR the reports due by virtue of Article 62 of the African Charter on Human and Peoples’ Rights.</w:t>
      </w:r>
    </w:p>
    <w:sectPr w:rsidR="009E3BDA">
      <w:pgSz w:w="11909" w:h="16840"/>
      <w:pgMar w:top="2538" w:right="692" w:bottom="2538" w:left="8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D785E">
      <w:r>
        <w:separator/>
      </w:r>
    </w:p>
  </w:endnote>
  <w:endnote w:type="continuationSeparator" w:id="0">
    <w:p w:rsidR="00000000" w:rsidRDefault="005D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3BDA" w:rsidRDefault="005D785E">
      <w:r>
        <w:separator/>
      </w:r>
    </w:p>
  </w:footnote>
  <w:footnote w:type="continuationSeparator" w:id="0">
    <w:p w:rsidR="009E3BDA" w:rsidRDefault="005D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27F3"/>
    <w:multiLevelType w:val="multilevel"/>
    <w:tmpl w:val="98AA54A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78505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DA"/>
    <w:rsid w:val="005D785E"/>
    <w:rsid w:val="009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2022-10-23T08:05:00Z</dcterms:created>
  <dcterms:modified xsi:type="dcterms:W3CDTF">2022-10-23T08:05:00Z</dcterms:modified>
</cp:coreProperties>
</file>