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54B" w:rsidRDefault="00A027C4">
      <w:pPr>
        <w:pStyle w:val="BodyText"/>
        <w:spacing w:after="0" w:line="262" w:lineRule="auto"/>
        <w:jc w:val="center"/>
        <w:rPr>
          <w:sz w:val="22"/>
          <w:szCs w:val="22"/>
        </w:rPr>
      </w:pPr>
      <w:r>
        <w:rPr>
          <w:b/>
          <w:bCs/>
          <w:sz w:val="22"/>
          <w:szCs w:val="22"/>
          <w:u w:val="single"/>
        </w:rPr>
        <w:t>DECISION ON THE FRAMEWORK FOR THE ORGANIZATION</w:t>
      </w:r>
    </w:p>
    <w:p w:rsidR="0008454B" w:rsidRDefault="00A027C4">
      <w:pPr>
        <w:pStyle w:val="BodyText"/>
        <w:spacing w:line="262" w:lineRule="auto"/>
        <w:jc w:val="center"/>
        <w:rPr>
          <w:sz w:val="22"/>
          <w:szCs w:val="22"/>
        </w:rPr>
      </w:pPr>
      <w:r>
        <w:rPr>
          <w:b/>
          <w:bCs/>
          <w:sz w:val="22"/>
          <w:szCs w:val="22"/>
          <w:u w:val="single"/>
        </w:rPr>
        <w:t>OF FUTURE SUMMITS</w:t>
      </w:r>
    </w:p>
    <w:p w:rsidR="0008454B" w:rsidRDefault="00A027C4">
      <w:pPr>
        <w:pStyle w:val="BodyText"/>
        <w:spacing w:line="262" w:lineRule="auto"/>
        <w:ind w:firstLine="380"/>
        <w:rPr>
          <w:sz w:val="22"/>
          <w:szCs w:val="22"/>
        </w:rPr>
      </w:pPr>
      <w:r>
        <w:rPr>
          <w:b/>
          <w:bCs/>
          <w:sz w:val="22"/>
          <w:szCs w:val="22"/>
        </w:rPr>
        <w:t>The Assembly:</w:t>
      </w:r>
    </w:p>
    <w:p w:rsidR="0008454B" w:rsidRDefault="00A027C4" w:rsidP="00A027C4">
      <w:pPr>
        <w:pStyle w:val="BodyText"/>
        <w:tabs>
          <w:tab w:val="left" w:pos="1094"/>
        </w:tabs>
        <w:spacing w:line="226" w:lineRule="auto"/>
        <w:ind w:left="1100" w:hanging="720"/>
      </w:pPr>
      <w:bookmarkStart w:id="0" w:name="bookmark0"/>
      <w:bookmarkEnd w:id="0"/>
      <w:r>
        <w:rPr>
          <w:b/>
          <w:bCs/>
          <w:sz w:val="22"/>
          <w:szCs w:val="22"/>
          <w:shd w:val="clear" w:color="auto" w:fill="FFFFFF"/>
        </w:rPr>
        <w:t>1.</w:t>
      </w:r>
      <w:r>
        <w:rPr>
          <w:b/>
          <w:bCs/>
          <w:sz w:val="22"/>
          <w:szCs w:val="22"/>
          <w:shd w:val="clear" w:color="auto" w:fill="FFFFFF"/>
        </w:rPr>
        <w:tab/>
      </w:r>
      <w:r>
        <w:rPr>
          <w:b/>
          <w:bCs/>
          <w:sz w:val="22"/>
          <w:szCs w:val="22"/>
        </w:rPr>
        <w:t xml:space="preserve">TAKES NOTE </w:t>
      </w:r>
      <w:r>
        <w:t>of the presentation on the framework for the Organization of future summits;</w:t>
      </w:r>
    </w:p>
    <w:p w:rsidR="0008454B" w:rsidRDefault="00A027C4" w:rsidP="00A027C4">
      <w:pPr>
        <w:pStyle w:val="BodyText"/>
        <w:tabs>
          <w:tab w:val="left" w:pos="1094"/>
        </w:tabs>
        <w:ind w:left="1100" w:hanging="720"/>
      </w:pPr>
      <w:bookmarkStart w:id="1" w:name="bookmark1"/>
      <w:bookmarkEnd w:id="1"/>
      <w:r>
        <w:rPr>
          <w:b/>
          <w:bCs/>
          <w:sz w:val="22"/>
          <w:szCs w:val="22"/>
          <w:shd w:val="clear" w:color="auto" w:fill="FFFFFF"/>
        </w:rPr>
        <w:t>2.</w:t>
      </w:r>
      <w:r>
        <w:rPr>
          <w:b/>
          <w:bCs/>
          <w:sz w:val="22"/>
          <w:szCs w:val="22"/>
          <w:shd w:val="clear" w:color="auto" w:fill="FFFFFF"/>
        </w:rPr>
        <w:tab/>
      </w:r>
      <w:r>
        <w:rPr>
          <w:b/>
          <w:bCs/>
          <w:sz w:val="22"/>
          <w:szCs w:val="22"/>
        </w:rPr>
        <w:t xml:space="preserve">RECALLS </w:t>
      </w:r>
      <w:r>
        <w:t xml:space="preserve">its previous decision in July 2004 on the convening of two ordinary </w:t>
      </w:r>
      <w:r>
        <w:t>sessions of the Assembly every year;</w:t>
      </w:r>
    </w:p>
    <w:p w:rsidR="0008454B" w:rsidRDefault="00A027C4" w:rsidP="00A027C4">
      <w:pPr>
        <w:pStyle w:val="BodyText"/>
        <w:tabs>
          <w:tab w:val="left" w:pos="1094"/>
        </w:tabs>
        <w:ind w:left="1100" w:hanging="720"/>
      </w:pPr>
      <w:bookmarkStart w:id="2" w:name="bookmark2"/>
      <w:bookmarkEnd w:id="2"/>
      <w:r>
        <w:rPr>
          <w:b/>
          <w:bCs/>
          <w:sz w:val="22"/>
          <w:szCs w:val="22"/>
          <w:shd w:val="clear" w:color="auto" w:fill="FFFFFF"/>
        </w:rPr>
        <w:t>3.</w:t>
      </w:r>
      <w:r>
        <w:rPr>
          <w:b/>
          <w:bCs/>
          <w:sz w:val="22"/>
          <w:szCs w:val="22"/>
          <w:shd w:val="clear" w:color="auto" w:fill="FFFFFF"/>
        </w:rPr>
        <w:tab/>
      </w:r>
      <w:r>
        <w:rPr>
          <w:b/>
          <w:bCs/>
          <w:sz w:val="22"/>
          <w:szCs w:val="22"/>
        </w:rPr>
        <w:t xml:space="preserve">DECIDES </w:t>
      </w:r>
      <w:r>
        <w:t>that the January sessions of the Assembly shall henceforth be held in the last week of January at the Headquarters of the Union, during which the Chairperson of the Assembly shall be elected;</w:t>
      </w:r>
    </w:p>
    <w:p w:rsidR="0008454B" w:rsidRDefault="00A027C4" w:rsidP="00A027C4">
      <w:pPr>
        <w:pStyle w:val="BodyText"/>
        <w:tabs>
          <w:tab w:val="left" w:pos="1094"/>
        </w:tabs>
        <w:ind w:left="1100" w:hanging="720"/>
      </w:pPr>
      <w:bookmarkStart w:id="3" w:name="bookmark3"/>
      <w:bookmarkEnd w:id="3"/>
      <w:r>
        <w:rPr>
          <w:b/>
          <w:bCs/>
          <w:sz w:val="22"/>
          <w:szCs w:val="22"/>
          <w:shd w:val="clear" w:color="auto" w:fill="FFFFFF"/>
        </w:rPr>
        <w:t>4.</w:t>
      </w:r>
      <w:r>
        <w:rPr>
          <w:b/>
          <w:bCs/>
          <w:sz w:val="22"/>
          <w:szCs w:val="22"/>
          <w:shd w:val="clear" w:color="auto" w:fill="FFFFFF"/>
        </w:rPr>
        <w:tab/>
      </w:r>
      <w:r>
        <w:rPr>
          <w:b/>
          <w:bCs/>
          <w:sz w:val="22"/>
          <w:szCs w:val="22"/>
        </w:rPr>
        <w:t xml:space="preserve">FURTHER DECIDES </w:t>
      </w:r>
      <w:r>
        <w:t>tha</w:t>
      </w:r>
      <w:r>
        <w:t>t the January Session could be convened, on an exceptional basis, outside the Headquarters, by decision of the Assembly upon the recommendation of the Executive Council. However, such hosting shall not be linked to the Chairmanship of the Union;</w:t>
      </w:r>
    </w:p>
    <w:p w:rsidR="0008454B" w:rsidRDefault="00A027C4" w:rsidP="00A027C4">
      <w:pPr>
        <w:pStyle w:val="BodyText"/>
        <w:tabs>
          <w:tab w:val="left" w:pos="1094"/>
        </w:tabs>
        <w:spacing w:line="233" w:lineRule="auto"/>
        <w:ind w:left="1100" w:hanging="720"/>
      </w:pPr>
      <w:bookmarkStart w:id="4" w:name="bookmark4"/>
      <w:bookmarkEnd w:id="4"/>
      <w:r>
        <w:rPr>
          <w:b/>
          <w:bCs/>
          <w:sz w:val="22"/>
          <w:szCs w:val="22"/>
          <w:shd w:val="clear" w:color="auto" w:fill="FFFFFF"/>
        </w:rPr>
        <w:t>5.</w:t>
      </w:r>
      <w:r>
        <w:rPr>
          <w:b/>
          <w:bCs/>
          <w:sz w:val="22"/>
          <w:szCs w:val="22"/>
          <w:shd w:val="clear" w:color="auto" w:fill="FFFFFF"/>
        </w:rPr>
        <w:tab/>
      </w:r>
      <w:r>
        <w:rPr>
          <w:b/>
          <w:bCs/>
          <w:sz w:val="22"/>
          <w:szCs w:val="22"/>
        </w:rPr>
        <w:t>DECIDES AL</w:t>
      </w:r>
      <w:r>
        <w:rPr>
          <w:b/>
          <w:bCs/>
          <w:sz w:val="22"/>
          <w:szCs w:val="22"/>
        </w:rPr>
        <w:t xml:space="preserve">SO </w:t>
      </w:r>
      <w:r>
        <w:t>to extend the term of office of the Chairperson and the Bureau of the Assembly from July 2005 to January 2006;</w:t>
      </w:r>
    </w:p>
    <w:p w:rsidR="0008454B" w:rsidRDefault="00A027C4" w:rsidP="00A027C4">
      <w:pPr>
        <w:pStyle w:val="BodyText"/>
        <w:tabs>
          <w:tab w:val="left" w:pos="1094"/>
        </w:tabs>
        <w:spacing w:after="560"/>
        <w:ind w:firstLine="380"/>
      </w:pPr>
      <w:bookmarkStart w:id="5" w:name="bookmark5"/>
      <w:bookmarkEnd w:id="5"/>
      <w:r>
        <w:rPr>
          <w:b/>
          <w:bCs/>
          <w:sz w:val="22"/>
          <w:szCs w:val="22"/>
          <w:shd w:val="clear" w:color="auto" w:fill="FFFFFF"/>
        </w:rPr>
        <w:t>6.</w:t>
      </w:r>
      <w:r>
        <w:rPr>
          <w:b/>
          <w:bCs/>
          <w:sz w:val="22"/>
          <w:szCs w:val="22"/>
          <w:shd w:val="clear" w:color="auto" w:fill="FFFFFF"/>
        </w:rPr>
        <w:tab/>
      </w:r>
      <w:r>
        <w:rPr>
          <w:b/>
          <w:bCs/>
          <w:sz w:val="22"/>
          <w:szCs w:val="22"/>
        </w:rPr>
        <w:t xml:space="preserve">APPROVES </w:t>
      </w:r>
      <w:r>
        <w:t>the following calendar for hosting of future Summits: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2093"/>
        <w:gridCol w:w="4565"/>
      </w:tblGrid>
      <w:tr w:rsidR="0008454B">
        <w:tblPrEx>
          <w:tblCellMar>
            <w:top w:w="0" w:type="dxa"/>
            <w:bottom w:w="0" w:type="dxa"/>
          </w:tblCellMar>
        </w:tblPrEx>
        <w:trPr>
          <w:trHeight w:hRule="exact" w:val="715"/>
          <w:jc w:val="center"/>
        </w:trPr>
        <w:tc>
          <w:tcPr>
            <w:tcW w:w="1195" w:type="dxa"/>
            <w:shd w:val="clear" w:color="auto" w:fill="FFFFFF"/>
          </w:tcPr>
          <w:p w:rsidR="0008454B" w:rsidRDefault="00A027C4">
            <w:pPr>
              <w:pStyle w:val="Other0"/>
              <w:spacing w:after="0"/>
              <w:rPr>
                <w:sz w:val="22"/>
                <w:szCs w:val="22"/>
              </w:rPr>
            </w:pPr>
            <w:r>
              <w:rPr>
                <w:b/>
                <w:bCs/>
                <w:sz w:val="22"/>
                <w:szCs w:val="22"/>
              </w:rPr>
              <w:t>2005 -</w:t>
            </w:r>
          </w:p>
        </w:tc>
        <w:tc>
          <w:tcPr>
            <w:tcW w:w="2093" w:type="dxa"/>
            <w:shd w:val="clear" w:color="auto" w:fill="FFFFFF"/>
          </w:tcPr>
          <w:p w:rsidR="0008454B" w:rsidRDefault="00A027C4">
            <w:pPr>
              <w:pStyle w:val="Other0"/>
              <w:spacing w:after="0"/>
              <w:ind w:firstLine="240"/>
              <w:jc w:val="both"/>
            </w:pPr>
            <w:r>
              <w:t>July</w:t>
            </w:r>
          </w:p>
        </w:tc>
        <w:tc>
          <w:tcPr>
            <w:tcW w:w="4565" w:type="dxa"/>
            <w:shd w:val="clear" w:color="auto" w:fill="FFFFFF"/>
          </w:tcPr>
          <w:p w:rsidR="0008454B" w:rsidRDefault="00A027C4">
            <w:pPr>
              <w:pStyle w:val="Other0"/>
              <w:spacing w:after="0" w:line="228" w:lineRule="auto"/>
              <w:ind w:left="280" w:firstLine="20"/>
            </w:pPr>
            <w:r>
              <w:t>Great Socialist People’s Libyan Arab Jamahiriya</w:t>
            </w:r>
          </w:p>
        </w:tc>
      </w:tr>
      <w:tr w:rsidR="0008454B">
        <w:tblPrEx>
          <w:tblCellMar>
            <w:top w:w="0" w:type="dxa"/>
            <w:bottom w:w="0" w:type="dxa"/>
          </w:tblCellMar>
        </w:tblPrEx>
        <w:trPr>
          <w:trHeight w:hRule="exact" w:val="830"/>
          <w:jc w:val="center"/>
        </w:trPr>
        <w:tc>
          <w:tcPr>
            <w:tcW w:w="1195" w:type="dxa"/>
            <w:shd w:val="clear" w:color="auto" w:fill="FFFFFF"/>
          </w:tcPr>
          <w:p w:rsidR="0008454B" w:rsidRDefault="00A027C4">
            <w:pPr>
              <w:pStyle w:val="Other0"/>
              <w:spacing w:before="120" w:after="0"/>
              <w:rPr>
                <w:sz w:val="22"/>
                <w:szCs w:val="22"/>
              </w:rPr>
            </w:pPr>
            <w:r>
              <w:rPr>
                <w:b/>
                <w:bCs/>
                <w:sz w:val="22"/>
                <w:szCs w:val="22"/>
              </w:rPr>
              <w:t>2006 -</w:t>
            </w:r>
          </w:p>
        </w:tc>
        <w:tc>
          <w:tcPr>
            <w:tcW w:w="2093" w:type="dxa"/>
            <w:shd w:val="clear" w:color="auto" w:fill="FFFFFF"/>
            <w:vAlign w:val="center"/>
          </w:tcPr>
          <w:p w:rsidR="0008454B" w:rsidRDefault="00A027C4">
            <w:pPr>
              <w:pStyle w:val="Other0"/>
              <w:spacing w:after="0"/>
              <w:ind w:firstLine="240"/>
            </w:pPr>
            <w:r>
              <w:t>January</w:t>
            </w:r>
          </w:p>
          <w:p w:rsidR="0008454B" w:rsidRDefault="00A027C4">
            <w:pPr>
              <w:pStyle w:val="Other0"/>
              <w:spacing w:after="0"/>
              <w:ind w:firstLine="240"/>
              <w:jc w:val="both"/>
            </w:pPr>
            <w:r>
              <w:t>July</w:t>
            </w:r>
          </w:p>
        </w:tc>
        <w:tc>
          <w:tcPr>
            <w:tcW w:w="4565" w:type="dxa"/>
            <w:shd w:val="clear" w:color="auto" w:fill="FFFFFF"/>
            <w:vAlign w:val="center"/>
          </w:tcPr>
          <w:p w:rsidR="0008454B" w:rsidRDefault="00A027C4">
            <w:pPr>
              <w:pStyle w:val="Other0"/>
              <w:spacing w:after="0"/>
              <w:ind w:firstLine="280"/>
            </w:pPr>
            <w:r>
              <w:t>The Sudan</w:t>
            </w:r>
          </w:p>
          <w:p w:rsidR="0008454B" w:rsidRDefault="00A027C4">
            <w:pPr>
              <w:pStyle w:val="Other0"/>
              <w:spacing w:after="0"/>
              <w:ind w:firstLine="280"/>
            </w:pPr>
            <w:r>
              <w:t>The Gambia</w:t>
            </w:r>
          </w:p>
        </w:tc>
      </w:tr>
      <w:tr w:rsidR="0008454B">
        <w:tblPrEx>
          <w:tblCellMar>
            <w:top w:w="0" w:type="dxa"/>
            <w:bottom w:w="0" w:type="dxa"/>
          </w:tblCellMar>
        </w:tblPrEx>
        <w:trPr>
          <w:trHeight w:hRule="exact" w:val="850"/>
          <w:jc w:val="center"/>
        </w:trPr>
        <w:tc>
          <w:tcPr>
            <w:tcW w:w="1195" w:type="dxa"/>
            <w:shd w:val="clear" w:color="auto" w:fill="FFFFFF"/>
          </w:tcPr>
          <w:p w:rsidR="0008454B" w:rsidRDefault="00A027C4">
            <w:pPr>
              <w:pStyle w:val="Other0"/>
              <w:spacing w:before="120" w:after="0"/>
              <w:rPr>
                <w:sz w:val="22"/>
                <w:szCs w:val="22"/>
              </w:rPr>
            </w:pPr>
            <w:r>
              <w:rPr>
                <w:b/>
                <w:bCs/>
                <w:sz w:val="22"/>
                <w:szCs w:val="22"/>
              </w:rPr>
              <w:t>2007 -</w:t>
            </w:r>
          </w:p>
        </w:tc>
        <w:tc>
          <w:tcPr>
            <w:tcW w:w="2093" w:type="dxa"/>
            <w:shd w:val="clear" w:color="auto" w:fill="FFFFFF"/>
            <w:vAlign w:val="center"/>
          </w:tcPr>
          <w:p w:rsidR="0008454B" w:rsidRDefault="00A027C4">
            <w:pPr>
              <w:pStyle w:val="Other0"/>
              <w:spacing w:after="0"/>
              <w:ind w:firstLine="240"/>
            </w:pPr>
            <w:r>
              <w:t>January</w:t>
            </w:r>
          </w:p>
          <w:p w:rsidR="0008454B" w:rsidRDefault="00A027C4">
            <w:pPr>
              <w:pStyle w:val="Other0"/>
              <w:spacing w:after="0"/>
              <w:ind w:firstLine="240"/>
              <w:jc w:val="both"/>
            </w:pPr>
            <w:r>
              <w:t>July</w:t>
            </w:r>
          </w:p>
        </w:tc>
        <w:tc>
          <w:tcPr>
            <w:tcW w:w="4565" w:type="dxa"/>
            <w:shd w:val="clear" w:color="auto" w:fill="FFFFFF"/>
            <w:vAlign w:val="center"/>
          </w:tcPr>
          <w:p w:rsidR="0008454B" w:rsidRDefault="00A027C4">
            <w:pPr>
              <w:pStyle w:val="Other0"/>
              <w:spacing w:after="0"/>
              <w:ind w:firstLine="280"/>
            </w:pPr>
            <w:r>
              <w:t>Headquarters</w:t>
            </w:r>
          </w:p>
          <w:p w:rsidR="0008454B" w:rsidRDefault="00A027C4">
            <w:pPr>
              <w:pStyle w:val="Other0"/>
              <w:spacing w:after="0"/>
              <w:ind w:firstLine="280"/>
            </w:pPr>
            <w:r>
              <w:t>Ghana</w:t>
            </w:r>
          </w:p>
        </w:tc>
      </w:tr>
      <w:tr w:rsidR="0008454B">
        <w:tblPrEx>
          <w:tblCellMar>
            <w:top w:w="0" w:type="dxa"/>
            <w:bottom w:w="0" w:type="dxa"/>
          </w:tblCellMar>
        </w:tblPrEx>
        <w:trPr>
          <w:trHeight w:hRule="exact" w:val="859"/>
          <w:jc w:val="center"/>
        </w:trPr>
        <w:tc>
          <w:tcPr>
            <w:tcW w:w="1195" w:type="dxa"/>
            <w:shd w:val="clear" w:color="auto" w:fill="FFFFFF"/>
          </w:tcPr>
          <w:p w:rsidR="0008454B" w:rsidRDefault="00A027C4">
            <w:pPr>
              <w:pStyle w:val="Other0"/>
              <w:spacing w:before="120" w:after="0"/>
              <w:rPr>
                <w:sz w:val="22"/>
                <w:szCs w:val="22"/>
              </w:rPr>
            </w:pPr>
            <w:r>
              <w:rPr>
                <w:b/>
                <w:bCs/>
                <w:sz w:val="22"/>
                <w:szCs w:val="22"/>
              </w:rPr>
              <w:t>2008 -</w:t>
            </w:r>
          </w:p>
        </w:tc>
        <w:tc>
          <w:tcPr>
            <w:tcW w:w="2093" w:type="dxa"/>
            <w:shd w:val="clear" w:color="auto" w:fill="FFFFFF"/>
            <w:vAlign w:val="center"/>
          </w:tcPr>
          <w:p w:rsidR="0008454B" w:rsidRDefault="00A027C4">
            <w:pPr>
              <w:pStyle w:val="Other0"/>
              <w:spacing w:after="0"/>
              <w:ind w:firstLine="240"/>
            </w:pPr>
            <w:r>
              <w:t>January</w:t>
            </w:r>
          </w:p>
          <w:p w:rsidR="0008454B" w:rsidRDefault="00A027C4">
            <w:pPr>
              <w:pStyle w:val="Other0"/>
              <w:spacing w:after="0"/>
              <w:ind w:firstLine="240"/>
              <w:jc w:val="both"/>
            </w:pPr>
            <w:r>
              <w:t>July</w:t>
            </w:r>
          </w:p>
        </w:tc>
        <w:tc>
          <w:tcPr>
            <w:tcW w:w="4565" w:type="dxa"/>
            <w:shd w:val="clear" w:color="auto" w:fill="FFFFFF"/>
            <w:vAlign w:val="center"/>
          </w:tcPr>
          <w:p w:rsidR="0008454B" w:rsidRDefault="00A027C4">
            <w:pPr>
              <w:pStyle w:val="Other0"/>
              <w:spacing w:after="0"/>
              <w:ind w:firstLine="280"/>
            </w:pPr>
            <w:r>
              <w:t>Headquarters</w:t>
            </w:r>
          </w:p>
          <w:p w:rsidR="0008454B" w:rsidRDefault="00A027C4">
            <w:pPr>
              <w:pStyle w:val="Other0"/>
              <w:spacing w:after="0"/>
              <w:ind w:firstLine="280"/>
            </w:pPr>
            <w:r>
              <w:t>Angola</w:t>
            </w:r>
          </w:p>
        </w:tc>
      </w:tr>
      <w:tr w:rsidR="0008454B">
        <w:tblPrEx>
          <w:tblCellMar>
            <w:top w:w="0" w:type="dxa"/>
            <w:bottom w:w="0" w:type="dxa"/>
          </w:tblCellMar>
        </w:tblPrEx>
        <w:trPr>
          <w:trHeight w:hRule="exact" w:val="845"/>
          <w:jc w:val="center"/>
        </w:trPr>
        <w:tc>
          <w:tcPr>
            <w:tcW w:w="1195" w:type="dxa"/>
            <w:shd w:val="clear" w:color="auto" w:fill="FFFFFF"/>
          </w:tcPr>
          <w:p w:rsidR="0008454B" w:rsidRDefault="00A027C4">
            <w:pPr>
              <w:pStyle w:val="Other0"/>
              <w:spacing w:before="120" w:after="0"/>
              <w:rPr>
                <w:sz w:val="22"/>
                <w:szCs w:val="22"/>
              </w:rPr>
            </w:pPr>
            <w:r>
              <w:rPr>
                <w:b/>
                <w:bCs/>
                <w:sz w:val="22"/>
                <w:szCs w:val="22"/>
              </w:rPr>
              <w:t>2009 -</w:t>
            </w:r>
          </w:p>
        </w:tc>
        <w:tc>
          <w:tcPr>
            <w:tcW w:w="2093" w:type="dxa"/>
            <w:shd w:val="clear" w:color="auto" w:fill="FFFFFF"/>
            <w:vAlign w:val="center"/>
          </w:tcPr>
          <w:p w:rsidR="0008454B" w:rsidRDefault="00A027C4">
            <w:pPr>
              <w:pStyle w:val="Other0"/>
              <w:spacing w:after="0"/>
              <w:ind w:firstLine="240"/>
            </w:pPr>
            <w:r>
              <w:t>January</w:t>
            </w:r>
          </w:p>
          <w:p w:rsidR="0008454B" w:rsidRDefault="00A027C4">
            <w:pPr>
              <w:pStyle w:val="Other0"/>
              <w:spacing w:after="0"/>
              <w:ind w:firstLine="240"/>
              <w:jc w:val="both"/>
            </w:pPr>
            <w:r>
              <w:t>July</w:t>
            </w:r>
          </w:p>
        </w:tc>
        <w:tc>
          <w:tcPr>
            <w:tcW w:w="4565" w:type="dxa"/>
            <w:shd w:val="clear" w:color="auto" w:fill="FFFFFF"/>
            <w:vAlign w:val="center"/>
          </w:tcPr>
          <w:p w:rsidR="0008454B" w:rsidRDefault="00A027C4">
            <w:pPr>
              <w:pStyle w:val="Other0"/>
              <w:spacing w:after="0"/>
              <w:ind w:firstLine="280"/>
            </w:pPr>
            <w:r>
              <w:t>Headquarters</w:t>
            </w:r>
          </w:p>
          <w:p w:rsidR="0008454B" w:rsidRDefault="00A027C4">
            <w:pPr>
              <w:pStyle w:val="Other0"/>
              <w:spacing w:after="0"/>
              <w:ind w:firstLine="280"/>
            </w:pPr>
            <w:r>
              <w:t>Madagascar</w:t>
            </w:r>
          </w:p>
        </w:tc>
      </w:tr>
      <w:tr w:rsidR="0008454B">
        <w:tblPrEx>
          <w:tblCellMar>
            <w:top w:w="0" w:type="dxa"/>
            <w:bottom w:w="0" w:type="dxa"/>
          </w:tblCellMar>
        </w:tblPrEx>
        <w:trPr>
          <w:trHeight w:hRule="exact" w:val="427"/>
          <w:jc w:val="center"/>
        </w:trPr>
        <w:tc>
          <w:tcPr>
            <w:tcW w:w="1195" w:type="dxa"/>
            <w:shd w:val="clear" w:color="auto" w:fill="FFFFFF"/>
            <w:vAlign w:val="bottom"/>
          </w:tcPr>
          <w:p w:rsidR="0008454B" w:rsidRDefault="00A027C4">
            <w:pPr>
              <w:pStyle w:val="Other0"/>
              <w:spacing w:after="0"/>
              <w:rPr>
                <w:sz w:val="22"/>
                <w:szCs w:val="22"/>
              </w:rPr>
            </w:pPr>
            <w:r>
              <w:rPr>
                <w:b/>
                <w:bCs/>
                <w:sz w:val="22"/>
                <w:szCs w:val="22"/>
              </w:rPr>
              <w:t>2010</w:t>
            </w:r>
          </w:p>
        </w:tc>
        <w:tc>
          <w:tcPr>
            <w:tcW w:w="2093" w:type="dxa"/>
            <w:shd w:val="clear" w:color="auto" w:fill="FFFFFF"/>
            <w:vAlign w:val="bottom"/>
          </w:tcPr>
          <w:p w:rsidR="0008454B" w:rsidRDefault="00A027C4">
            <w:pPr>
              <w:pStyle w:val="Other0"/>
              <w:spacing w:after="0"/>
              <w:ind w:firstLine="240"/>
            </w:pPr>
            <w:r>
              <w:t>January</w:t>
            </w:r>
          </w:p>
        </w:tc>
        <w:tc>
          <w:tcPr>
            <w:tcW w:w="4565" w:type="dxa"/>
            <w:shd w:val="clear" w:color="auto" w:fill="FFFFFF"/>
            <w:vAlign w:val="bottom"/>
          </w:tcPr>
          <w:p w:rsidR="0008454B" w:rsidRDefault="00A027C4">
            <w:pPr>
              <w:pStyle w:val="Other0"/>
              <w:spacing w:after="0"/>
              <w:ind w:firstLine="280"/>
            </w:pPr>
            <w:r>
              <w:t>Headquarters</w:t>
            </w:r>
          </w:p>
        </w:tc>
      </w:tr>
      <w:tr w:rsidR="0008454B">
        <w:tblPrEx>
          <w:tblCellMar>
            <w:top w:w="0" w:type="dxa"/>
            <w:bottom w:w="0" w:type="dxa"/>
          </w:tblCellMar>
        </w:tblPrEx>
        <w:trPr>
          <w:trHeight w:hRule="exact" w:val="283"/>
          <w:jc w:val="center"/>
        </w:trPr>
        <w:tc>
          <w:tcPr>
            <w:tcW w:w="1195" w:type="dxa"/>
            <w:shd w:val="clear" w:color="auto" w:fill="FFFFFF"/>
          </w:tcPr>
          <w:p w:rsidR="0008454B" w:rsidRDefault="00A027C4">
            <w:pPr>
              <w:pStyle w:val="Other0"/>
              <w:spacing w:before="100" w:after="0"/>
              <w:ind w:right="180"/>
              <w:jc w:val="right"/>
              <w:rPr>
                <w:sz w:val="22"/>
                <w:szCs w:val="22"/>
              </w:rPr>
            </w:pPr>
            <w:r>
              <w:rPr>
                <w:b/>
                <w:bCs/>
                <w:sz w:val="22"/>
                <w:szCs w:val="22"/>
              </w:rPr>
              <w:t>-</w:t>
            </w:r>
          </w:p>
        </w:tc>
        <w:tc>
          <w:tcPr>
            <w:tcW w:w="2093" w:type="dxa"/>
            <w:shd w:val="clear" w:color="auto" w:fill="FFFFFF"/>
            <w:vAlign w:val="bottom"/>
          </w:tcPr>
          <w:p w:rsidR="0008454B" w:rsidRDefault="00A027C4">
            <w:pPr>
              <w:pStyle w:val="Other0"/>
              <w:spacing w:after="0"/>
              <w:ind w:firstLine="240"/>
              <w:jc w:val="both"/>
            </w:pPr>
            <w:r>
              <w:t>July</w:t>
            </w:r>
          </w:p>
        </w:tc>
        <w:tc>
          <w:tcPr>
            <w:tcW w:w="4565" w:type="dxa"/>
            <w:shd w:val="clear" w:color="auto" w:fill="FFFFFF"/>
            <w:vAlign w:val="bottom"/>
          </w:tcPr>
          <w:p w:rsidR="0008454B" w:rsidRDefault="00A027C4">
            <w:pPr>
              <w:pStyle w:val="Other0"/>
              <w:spacing w:after="0"/>
              <w:ind w:firstLine="280"/>
            </w:pPr>
            <w:r>
              <w:t>Egypt</w:t>
            </w:r>
          </w:p>
        </w:tc>
      </w:tr>
    </w:tbl>
    <w:p w:rsidR="0008454B" w:rsidRDefault="00A027C4" w:rsidP="00A027C4">
      <w:pPr>
        <w:pStyle w:val="BodyText"/>
        <w:tabs>
          <w:tab w:val="left" w:pos="1185"/>
        </w:tabs>
        <w:spacing w:after="300" w:line="216" w:lineRule="auto"/>
        <w:ind w:left="1180" w:hanging="720"/>
      </w:pPr>
      <w:bookmarkStart w:id="6" w:name="bookmark6"/>
      <w:bookmarkEnd w:id="6"/>
      <w:r>
        <w:rPr>
          <w:b/>
          <w:bCs/>
          <w:sz w:val="22"/>
          <w:szCs w:val="22"/>
          <w:shd w:val="clear" w:color="auto" w:fill="FFFFFF"/>
        </w:rPr>
        <w:lastRenderedPageBreak/>
        <w:t>7.</w:t>
      </w:r>
      <w:r>
        <w:rPr>
          <w:b/>
          <w:bCs/>
          <w:sz w:val="22"/>
          <w:szCs w:val="22"/>
          <w:shd w:val="clear" w:color="auto" w:fill="FFFFFF"/>
        </w:rPr>
        <w:tab/>
      </w:r>
      <w:r>
        <w:rPr>
          <w:b/>
          <w:bCs/>
          <w:sz w:val="22"/>
          <w:szCs w:val="22"/>
        </w:rPr>
        <w:t xml:space="preserve">DECIDES </w:t>
      </w:r>
      <w:r>
        <w:t xml:space="preserve">that the relevant Rules of Procedure of the </w:t>
      </w:r>
      <w:r>
        <w:t>Assembly shall be amended accordingly;</w:t>
      </w:r>
    </w:p>
    <w:p w:rsidR="0008454B" w:rsidRDefault="00A027C4">
      <w:pPr>
        <w:pStyle w:val="BodyText"/>
        <w:spacing w:after="0"/>
        <w:ind w:left="1180"/>
      </w:pPr>
      <w:r>
        <w:rPr>
          <w:b/>
          <w:bCs/>
          <w:sz w:val="22"/>
          <w:szCs w:val="22"/>
        </w:rPr>
        <w:t xml:space="preserve">FURTHER DECIDES </w:t>
      </w:r>
      <w:r>
        <w:t>that any proposal to change the Rules of Procedure of the Assembly should first be considered by the Executive Council.</w:t>
      </w:r>
    </w:p>
    <w:sectPr w:rsidR="0008454B">
      <w:pgSz w:w="11909" w:h="16840"/>
      <w:pgMar w:top="2514" w:right="706" w:bottom="2138" w:left="8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027C4">
      <w:r>
        <w:separator/>
      </w:r>
    </w:p>
  </w:endnote>
  <w:endnote w:type="continuationSeparator" w:id="0">
    <w:p w:rsidR="00000000" w:rsidRDefault="00A0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54B" w:rsidRDefault="00A027C4">
      <w:r>
        <w:separator/>
      </w:r>
    </w:p>
  </w:footnote>
  <w:footnote w:type="continuationSeparator" w:id="0">
    <w:p w:rsidR="0008454B" w:rsidRDefault="00A0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244"/>
    <w:multiLevelType w:val="multilevel"/>
    <w:tmpl w:val="C01468D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124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4B"/>
    <w:rsid w:val="0008454B"/>
    <w:rsid w:val="00A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character" w:customStyle="1" w:styleId="Other">
    <w:name w:val="Other_"/>
    <w:basedOn w:val="DefaultParagraphFont"/>
    <w:link w:val="Other0"/>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 w:type="paragraph" w:customStyle="1" w:styleId="Other0">
    <w:name w:val="Other"/>
    <w:basedOn w:val="Normal"/>
    <w:link w:val="Othe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